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6CA8D" w14:textId="77777777" w:rsidR="00095943" w:rsidRDefault="00095943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16AC2763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 w:rsidR="000C7C8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– </w:t>
      </w:r>
      <w:r w:rsidR="000C7C81">
        <w:rPr>
          <w:b/>
          <w:sz w:val="32"/>
          <w:szCs w:val="32"/>
        </w:rPr>
        <w:t>Projektový záměr</w:t>
      </w:r>
    </w:p>
    <w:p w14:paraId="10CD12BE" w14:textId="7C654783" w:rsidR="000C7C81" w:rsidRPr="004D20FC" w:rsidRDefault="000C7C81" w:rsidP="004D20FC">
      <w:pPr>
        <w:jc w:val="center"/>
        <w:rPr>
          <w:b/>
          <w:sz w:val="32"/>
          <w:szCs w:val="32"/>
        </w:rPr>
      </w:pPr>
      <w:r w:rsidRPr="004D20FC">
        <w:rPr>
          <w:b/>
          <w:sz w:val="32"/>
          <w:szCs w:val="32"/>
        </w:rPr>
        <w:t>„</w:t>
      </w:r>
      <w:r w:rsidR="004D20FC" w:rsidRPr="004D20FC">
        <w:rPr>
          <w:b/>
          <w:sz w:val="32"/>
          <w:szCs w:val="32"/>
        </w:rPr>
        <w:t>1. výzva Prostějov venkov-IROP- VZDĚLÁVÁNÍ</w:t>
      </w:r>
      <w:r w:rsidRPr="004D20FC">
        <w:rPr>
          <w:b/>
          <w:sz w:val="32"/>
          <w:szCs w:val="32"/>
        </w:rPr>
        <w:t>“</w:t>
      </w:r>
    </w:p>
    <w:p w14:paraId="3C7C1F28" w14:textId="5E30B318" w:rsidR="000C7C81" w:rsidRPr="004D20FC" w:rsidRDefault="004D20FC" w:rsidP="004D20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Vazba na </w:t>
      </w:r>
      <w:r w:rsidRPr="004D20FC">
        <w:rPr>
          <w:b/>
          <w:sz w:val="32"/>
          <w:szCs w:val="32"/>
        </w:rPr>
        <w:t>48. výzv</w:t>
      </w:r>
      <w:r>
        <w:rPr>
          <w:b/>
          <w:sz w:val="32"/>
          <w:szCs w:val="32"/>
        </w:rPr>
        <w:t>u</w:t>
      </w:r>
      <w:r w:rsidRPr="004D20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IROP</w:t>
      </w:r>
      <w:r w:rsidRPr="004D20FC">
        <w:rPr>
          <w:b/>
          <w:sz w:val="32"/>
          <w:szCs w:val="32"/>
        </w:rPr>
        <w:t xml:space="preserve"> 2021–2027 VZDĚLÁVÁNÍ -</w:t>
      </w:r>
      <w:r w:rsidR="000C7C81" w:rsidRPr="004D20FC">
        <w:rPr>
          <w:b/>
          <w:sz w:val="32"/>
          <w:szCs w:val="32"/>
        </w:rPr>
        <w:t xml:space="preserve"> SC 5.1 (CLLD)</w:t>
      </w:r>
    </w:p>
    <w:p w14:paraId="1CA5F46C" w14:textId="3F0EF93B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1EF4C1A5" w14:textId="77777777" w:rsidR="000C7C81" w:rsidRDefault="000C7C81" w:rsidP="000C7C81">
      <w:pPr>
        <w:jc w:val="both"/>
      </w:pPr>
      <w:r>
        <w:t>Administrativní kontrolu záměrů provádí pracovníci kanceláře Prostějov venkov o.p.s.</w:t>
      </w:r>
    </w:p>
    <w:p w14:paraId="2EB58D0B" w14:textId="77777777" w:rsidR="000C7C81" w:rsidRDefault="000C7C81" w:rsidP="000C7C81">
      <w:pPr>
        <w:jc w:val="both"/>
      </w:pPr>
      <w:r>
        <w:t>Věcné hodnocení záměrů provádí Výběrová komise MAS jakožto výběrový orgán.</w:t>
      </w:r>
    </w:p>
    <w:p w14:paraId="3B5E28AA" w14:textId="77777777" w:rsidR="00ED3FE5" w:rsidRPr="00492425" w:rsidRDefault="000C7C81" w:rsidP="00C5740D">
      <w:pPr>
        <w:jc w:val="both"/>
        <w:rPr>
          <w:rFonts w:cstheme="minorHAnsi"/>
        </w:rPr>
      </w:pPr>
      <w:r>
        <w:t xml:space="preserve">Programový výbor MAS jakožto Rozhodovací orgán vybírá záměry, kterým bude vydáno Vyjádření o souladu se SCLLD Prostějov venkov o.p.s. </w:t>
      </w:r>
      <w:r w:rsidR="00ED3FE5" w:rsidRPr="00492425">
        <w:rPr>
          <w:rFonts w:cstheme="minorHAnsi"/>
        </w:rPr>
        <w:t>Vyjádření o souladu se SCLLD MAS je povinnou přílohou žádosti o podporu v MS21+.</w:t>
      </w:r>
    </w:p>
    <w:p w14:paraId="12CBB3AA" w14:textId="4303942B" w:rsidR="000C7C81" w:rsidRDefault="000C7C81" w:rsidP="000C7C81">
      <w:pPr>
        <w:jc w:val="both"/>
      </w:pPr>
      <w:r>
        <w:t xml:space="preserve">Postup hodnocení záměrů je uveden v dokumentu "Interní postupy Prostějov venkov o.p.s. pro programové období 2021-2027 - IROP".  </w:t>
      </w:r>
      <w:r w:rsidR="00C5740D" w:rsidRPr="00322FEA">
        <w:rPr>
          <w:rFonts w:cstheme="minorHAnsi"/>
        </w:rPr>
        <w:t xml:space="preserve">Dokument  je zveřejněn </w:t>
      </w:r>
      <w:proofErr w:type="gramStart"/>
      <w:r w:rsidR="00C5740D" w:rsidRPr="00322FEA">
        <w:rPr>
          <w:rFonts w:cstheme="minorHAnsi"/>
        </w:rPr>
        <w:t>na</w:t>
      </w:r>
      <w:proofErr w:type="gramEnd"/>
      <w:r w:rsidR="00C5740D" w:rsidRPr="00322FEA">
        <w:rPr>
          <w:rFonts w:cstheme="minorHAnsi"/>
        </w:rPr>
        <w:t xml:space="preserve">:  </w:t>
      </w:r>
      <w:hyperlink r:id="rId10" w:history="1">
        <w:r w:rsidR="00C5740D" w:rsidRPr="00C9573D">
          <w:rPr>
            <w:rStyle w:val="Hypertextovodkaz"/>
          </w:rPr>
          <w:t>www.maspvvenkov.cz</w:t>
        </w:r>
      </w:hyperlink>
    </w:p>
    <w:p w14:paraId="369F26D0" w14:textId="4BF939FF" w:rsidR="00C5740D" w:rsidRDefault="000C7C81" w:rsidP="00C5740D">
      <w:pPr>
        <w:rPr>
          <w:rFonts w:cstheme="minorHAnsi"/>
        </w:rPr>
      </w:pPr>
      <w:r>
        <w:t xml:space="preserve">Po výběru projektových záměrů ze strany MAS žadatel podá žádost o podporu do výzvy </w:t>
      </w:r>
      <w:proofErr w:type="gramStart"/>
      <w:r>
        <w:t>č.</w:t>
      </w:r>
      <w:r w:rsidR="006D0DFE">
        <w:t>48</w:t>
      </w:r>
      <w:proofErr w:type="gramEnd"/>
      <w:r>
        <w:t xml:space="preserve"> IROP, a to prostřednictvím MS21+. </w:t>
      </w:r>
      <w:r w:rsidR="00C5740D" w:rsidRPr="00322FEA">
        <w:rPr>
          <w:rFonts w:cstheme="minorHAnsi"/>
        </w:rPr>
        <w:t xml:space="preserve">Pověřený pracovník MAS záměr v MS21+ před odesláním zkontroluje a podepíše. </w:t>
      </w:r>
    </w:p>
    <w:p w14:paraId="763B5D62" w14:textId="77777777" w:rsidR="00C5740D" w:rsidRDefault="00C5740D" w:rsidP="00C5740D">
      <w:pPr>
        <w:jc w:val="both"/>
      </w:pPr>
      <w:r>
        <w:t xml:space="preserve">Žadatel má možnost podat žádost o přezkum hodnocení. Postup pro tento případ je uveden v dokumentu "Interní postupy Prostějov venkov o.p.s. pro programové období 2021-2027 - IROP".  </w:t>
      </w:r>
      <w:r w:rsidRPr="00322FEA">
        <w:rPr>
          <w:rFonts w:cstheme="minorHAnsi"/>
        </w:rPr>
        <w:t xml:space="preserve">Dokument  je zveřejněn </w:t>
      </w:r>
      <w:proofErr w:type="gramStart"/>
      <w:r w:rsidRPr="00322FEA">
        <w:rPr>
          <w:rFonts w:cstheme="minorHAnsi"/>
        </w:rPr>
        <w:t>na</w:t>
      </w:r>
      <w:proofErr w:type="gramEnd"/>
      <w:r w:rsidRPr="00322FEA">
        <w:rPr>
          <w:rFonts w:cstheme="minorHAnsi"/>
        </w:rPr>
        <w:t xml:space="preserve">:  </w:t>
      </w:r>
      <w:hyperlink r:id="rId11" w:history="1">
        <w:r w:rsidRPr="00C9573D">
          <w:rPr>
            <w:rStyle w:val="Hypertextovodkaz"/>
          </w:rPr>
          <w:t>www.maspvvenkov.cz</w:t>
        </w:r>
      </w:hyperlink>
    </w:p>
    <w:p w14:paraId="537C81B2" w14:textId="77777777" w:rsidR="000C7C81" w:rsidRDefault="000C7C81" w:rsidP="000C7C81">
      <w:pPr>
        <w:jc w:val="both"/>
      </w:pPr>
      <w:r>
        <w:t>Hodnocení žádosti o podporu je v kompetenci Centra pro regionální rozvoj (CRR). Kontrolní listy k hodnocení CRR jsou zveřejněny na: https://</w:t>
      </w:r>
      <w:proofErr w:type="gramStart"/>
      <w:r>
        <w:t>www</w:t>
      </w:r>
      <w:proofErr w:type="gramEnd"/>
      <w:r>
        <w:t>.</w:t>
      </w:r>
      <w:proofErr w:type="gramStart"/>
      <w:r>
        <w:t>crr</w:t>
      </w:r>
      <w:proofErr w:type="gramEnd"/>
      <w:r>
        <w:t>.cz/irop/projekt-a-kontrola/kontrolni-listy/</w:t>
      </w:r>
    </w:p>
    <w:p w14:paraId="7CD82269" w14:textId="3E476590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6D0DFE">
        <w:t>48</w:t>
      </w:r>
      <w:r>
        <w:t xml:space="preserve"> IROP (vždy v aktuálním znění).</w:t>
      </w:r>
    </w:p>
    <w:p w14:paraId="2C5650A1" w14:textId="06858F81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2" w:history="1">
        <w:r w:rsidR="000C7C81" w:rsidRPr="00C9573D">
          <w:rPr>
            <w:rStyle w:val="Hypertextovodkaz"/>
            <w:rFonts w:cstheme="minorHAnsi"/>
          </w:rPr>
          <w:t>https://irop.mmr.cz/cs/vyzvy-2021-2027/vyzvy/</w:t>
        </w:r>
        <w:r w:rsidR="006D0DFE">
          <w:rPr>
            <w:rStyle w:val="Hypertextovodkaz"/>
            <w:rFonts w:cstheme="minorHAnsi"/>
          </w:rPr>
          <w:t>48</w:t>
        </w:r>
        <w:r w:rsidR="000C7C81" w:rsidRPr="00C9573D">
          <w:rPr>
            <w:rStyle w:val="Hypertextovodkaz"/>
            <w:rFonts w:cstheme="minorHAnsi"/>
          </w:rPr>
          <w:t>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07A908C" w14:textId="642F1396" w:rsidR="00DF4369" w:rsidRDefault="00DF4369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F4369">
        <w:t>Pro jednoho žadatele o podporu (předkladatele záměru) je omezen počet podaných záměrů na jeden (tj. za jedno IČ jeden projektový záměr). Pokud podá jeden žadatel (jedno IČ) do té</w:t>
      </w:r>
      <w:r w:rsidR="006D0DFE">
        <w:t>t</w:t>
      </w:r>
      <w:r w:rsidRPr="00DF4369">
        <w:t>o výzvy více záměrů, bude do administrativní kontroly a hodnocení zařazen záměr, který byl podán nejdříve. Ostatní záměry stejného žadatele (stejné IČ) budou vyřazeny.</w:t>
      </w:r>
    </w:p>
    <w:p w14:paraId="7FCE3592" w14:textId="1AD174CD" w:rsidR="00211D24" w:rsidRPr="008B7B1D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8B7B1D">
        <w:rPr>
          <w:b/>
          <w:bCs/>
        </w:rPr>
        <w:t xml:space="preserve">Před odevzdáním smažte tuto první stranu s informacemi. </w:t>
      </w:r>
    </w:p>
    <w:p w14:paraId="7790830B" w14:textId="7892147C" w:rsidR="00211D24" w:rsidRDefault="002430BA">
      <w:r>
        <w:t>Vzor s</w:t>
      </w:r>
      <w:r w:rsidR="00786B22" w:rsidRPr="00786B22">
        <w:t>chválen</w:t>
      </w:r>
      <w:bookmarkStart w:id="1" w:name="_GoBack"/>
      <w:bookmarkEnd w:id="1"/>
      <w:r w:rsidR="00786B22" w:rsidRPr="00786B22">
        <w:t xml:space="preserve"> programovým výborem dne 15.8.2023</w:t>
      </w:r>
      <w:r w:rsidR="00211D24"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89"/>
        <w:gridCol w:w="2832"/>
        <w:gridCol w:w="4521"/>
      </w:tblGrid>
      <w:tr w:rsidR="00C566ED" w:rsidRPr="001C1F58" w14:paraId="799795F9" w14:textId="77777777" w:rsidTr="005556D0">
        <w:trPr>
          <w:trHeight w:val="270"/>
          <w:jc w:val="center"/>
        </w:trPr>
        <w:tc>
          <w:tcPr>
            <w:tcW w:w="1689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353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006DA8" w:rsidRDefault="00C566ED" w:rsidP="009319B7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="00331076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5556D0">
        <w:trPr>
          <w:trHeight w:val="330"/>
          <w:jc w:val="center"/>
        </w:trPr>
        <w:tc>
          <w:tcPr>
            <w:tcW w:w="1689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</w:tcPr>
          <w:p w14:paraId="00967B26" w14:textId="5D8D4BDD" w:rsidR="006E6251" w:rsidRPr="00331076" w:rsidRDefault="00FD3692" w:rsidP="005644B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Prostějov venkov</w:t>
            </w:r>
            <w:r w:rsidR="00331076"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5556D0">
        <w:trPr>
          <w:trHeight w:val="334"/>
          <w:jc w:val="center"/>
        </w:trPr>
        <w:tc>
          <w:tcPr>
            <w:tcW w:w="1689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4D5D6637" w14:textId="77777777" w:rsidR="00B579DF" w:rsidRPr="00641AD3" w:rsidRDefault="00B579DF" w:rsidP="00B579DF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41AD3">
              <w:rPr>
                <w:rFonts w:cstheme="minorHAnsi"/>
              </w:rPr>
              <w:t>A 2.1 Nová výstavba, zlepšení technického stavu a vybavení prostor pro vzdělávání včetně zázemí a prostor pro duchovní rozvoj</w:t>
            </w:r>
          </w:p>
          <w:p w14:paraId="1CC9AE0B" w14:textId="13272599" w:rsidR="006E6251" w:rsidRPr="00331076" w:rsidRDefault="00B579DF" w:rsidP="00B579D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proofErr w:type="gramStart"/>
            <w:r w:rsidRPr="00641AD3">
              <w:rPr>
                <w:rFonts w:cstheme="minorHAnsi"/>
              </w:rPr>
              <w:t>A.2.3</w:t>
            </w:r>
            <w:proofErr w:type="gramEnd"/>
            <w:r w:rsidRPr="00641AD3">
              <w:rPr>
                <w:rFonts w:cstheme="minorHAnsi"/>
              </w:rPr>
              <w:t xml:space="preserve"> Inovace, robotizace a digitalizace ve vzdělávání</w:t>
            </w:r>
          </w:p>
        </w:tc>
      </w:tr>
      <w:tr w:rsidR="006E6251" w:rsidRPr="001C1F58" w14:paraId="7396E241" w14:textId="77777777" w:rsidTr="005556D0">
        <w:trPr>
          <w:trHeight w:val="270"/>
          <w:jc w:val="center"/>
        </w:trPr>
        <w:tc>
          <w:tcPr>
            <w:tcW w:w="1689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7829B879" w14:textId="3DBBFAD9" w:rsidR="006E6251" w:rsidRPr="00331076" w:rsidRDefault="006E6251" w:rsidP="00FD369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6D0DFE">
              <w:rPr>
                <w:sz w:val="20"/>
                <w:szCs w:val="20"/>
              </w:rPr>
              <w:t>48</w:t>
            </w:r>
            <w:r w:rsidR="00963100" w:rsidRPr="00963100">
              <w:rPr>
                <w:sz w:val="20"/>
                <w:szCs w:val="20"/>
              </w:rPr>
              <w:t xml:space="preserve">. VÝZVU - IROP - </w:t>
            </w:r>
            <w:r w:rsidR="002921C0" w:rsidRPr="005556D0">
              <w:rPr>
                <w:rFonts w:cstheme="minorHAnsi"/>
              </w:rPr>
              <w:t>VZDĚLÁVÁNÍ</w:t>
            </w:r>
            <w:r w:rsidR="002921C0" w:rsidRPr="00963100">
              <w:rPr>
                <w:sz w:val="20"/>
                <w:szCs w:val="20"/>
              </w:rPr>
              <w:t xml:space="preserve"> </w:t>
            </w:r>
            <w:r w:rsidR="00963100" w:rsidRPr="00963100">
              <w:rPr>
                <w:sz w:val="20"/>
                <w:szCs w:val="20"/>
              </w:rPr>
              <w:t>- SC 5.1</w:t>
            </w:r>
          </w:p>
        </w:tc>
      </w:tr>
      <w:tr w:rsidR="006E6251" w:rsidRPr="001C1F58" w14:paraId="1AB9F43A" w14:textId="77777777" w:rsidTr="005556D0">
        <w:trPr>
          <w:trHeight w:val="255"/>
          <w:jc w:val="center"/>
        </w:trPr>
        <w:tc>
          <w:tcPr>
            <w:tcW w:w="1689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0B4615AB" w14:textId="26A48365" w:rsidR="006E6251" w:rsidRPr="00331076" w:rsidRDefault="005556D0" w:rsidP="005556D0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5556D0">
              <w:rPr>
                <w:rFonts w:cstheme="minorHAnsi"/>
              </w:rPr>
              <w:t>1. výzva Prostějov venkov-IROP- VZDĚLÁVÁNÍ</w:t>
            </w:r>
          </w:p>
        </w:tc>
      </w:tr>
      <w:tr w:rsidR="00991E7D" w:rsidRPr="001C1F58" w14:paraId="5A0A59D6" w14:textId="77777777" w:rsidTr="005556D0">
        <w:trPr>
          <w:trHeight w:val="255"/>
          <w:jc w:val="center"/>
        </w:trPr>
        <w:tc>
          <w:tcPr>
            <w:tcW w:w="1689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4521" w:type="dxa"/>
            <w:shd w:val="clear" w:color="auto" w:fill="FFFFFF" w:themeFill="background1"/>
            <w:noWrap/>
            <w:hideMark/>
          </w:tcPr>
          <w:p w14:paraId="5883F993" w14:textId="57AC521B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14:paraId="40600B07" w14:textId="77777777" w:rsidTr="005556D0">
        <w:trPr>
          <w:trHeight w:val="255"/>
          <w:jc w:val="center"/>
        </w:trPr>
        <w:tc>
          <w:tcPr>
            <w:tcW w:w="1689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6513E44E" w14:textId="336FE7CC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sídlo žadatel</w:t>
            </w:r>
            <w:r w:rsidR="007A09CC">
              <w:rPr>
                <w:rFonts w:cs="Arial"/>
                <w:sz w:val="20"/>
                <w:szCs w:val="20"/>
              </w:rPr>
              <w:t xml:space="preserve">e </w:t>
            </w:r>
            <w:r w:rsidR="007A09CC">
              <w:rPr>
                <w:rFonts w:cs="Arial"/>
                <w:sz w:val="20"/>
                <w:szCs w:val="20"/>
              </w:rPr>
              <w:br/>
              <w:t>(ulice č. p./č. o., obec, PSČ</w:t>
            </w:r>
            <w:r w:rsidRPr="0033107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FD3692" w:rsidRPr="001C1F58" w14:paraId="162C8F32" w14:textId="77777777" w:rsidTr="005556D0">
        <w:trPr>
          <w:trHeight w:val="255"/>
          <w:jc w:val="center"/>
        </w:trPr>
        <w:tc>
          <w:tcPr>
            <w:tcW w:w="1689" w:type="dxa"/>
            <w:vMerge/>
            <w:shd w:val="clear" w:color="auto" w:fill="FFFFFF" w:themeFill="background1"/>
            <w:vAlign w:val="center"/>
          </w:tcPr>
          <w:p w14:paraId="26996527" w14:textId="77777777" w:rsidR="00FD3692" w:rsidRPr="001C1F58" w:rsidRDefault="00FD3692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65CA40EA" w14:textId="5247848D" w:rsidR="00FD3692" w:rsidRPr="00331076" w:rsidRDefault="00FD3692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datová schránka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</w:tcPr>
          <w:p w14:paraId="1B29303F" w14:textId="1576868E" w:rsidR="00FD3692" w:rsidRPr="00006DA8" w:rsidRDefault="00FD3692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5556D0">
        <w:trPr>
          <w:trHeight w:val="255"/>
          <w:jc w:val="center"/>
        </w:trPr>
        <w:tc>
          <w:tcPr>
            <w:tcW w:w="1689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5556D0">
        <w:trPr>
          <w:trHeight w:val="255"/>
          <w:jc w:val="center"/>
        </w:trPr>
        <w:tc>
          <w:tcPr>
            <w:tcW w:w="1689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5556D0">
        <w:trPr>
          <w:trHeight w:val="570"/>
          <w:jc w:val="center"/>
        </w:trPr>
        <w:tc>
          <w:tcPr>
            <w:tcW w:w="1689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5556D0">
        <w:trPr>
          <w:trHeight w:val="525"/>
          <w:jc w:val="center"/>
        </w:trPr>
        <w:tc>
          <w:tcPr>
            <w:tcW w:w="1689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521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65A5EB57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p w14:paraId="29424BF6" w14:textId="27B27706" w:rsidR="00AC110C" w:rsidRDefault="00AC110C" w:rsidP="00991E7D">
      <w:pPr>
        <w:rPr>
          <w:b/>
        </w:rPr>
      </w:pPr>
      <w:r>
        <w:rPr>
          <w:b/>
        </w:rPr>
        <w:t>Podrobný popis projektu je doložen</w:t>
      </w:r>
      <w:r w:rsidR="00DF4060">
        <w:rPr>
          <w:b/>
        </w:rPr>
        <w:t xml:space="preserve"> (příloha č.</w:t>
      </w:r>
      <w:r w:rsidR="005556D0">
        <w:rPr>
          <w:b/>
        </w:rPr>
        <w:t xml:space="preserve"> </w:t>
      </w:r>
      <w:r w:rsidR="00DF4060">
        <w:rPr>
          <w:b/>
        </w:rPr>
        <w:t>2</w:t>
      </w:r>
      <w:r>
        <w:rPr>
          <w:b/>
        </w:rPr>
        <w:t xml:space="preserve"> Specifických  pravidel pro žadatele a příjemce</w:t>
      </w:r>
      <w:r w:rsidR="00DF4060">
        <w:rPr>
          <w:b/>
        </w:rPr>
        <w:t>)</w:t>
      </w:r>
      <w:r>
        <w:rPr>
          <w:b/>
        </w:rPr>
        <w:t>.</w:t>
      </w:r>
    </w:p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05D80DE5" w:rsidR="00726F7F" w:rsidRPr="007314F2" w:rsidRDefault="00726F7F" w:rsidP="007314F2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veďte Celkové </w:t>
            </w:r>
            <w:r w:rsidRPr="007314F2">
              <w:rPr>
                <w:rFonts w:cs="Arial"/>
                <w:color w:val="FF0000"/>
                <w:sz w:val="20"/>
                <w:szCs w:val="20"/>
              </w:rPr>
              <w:t>způsobilé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 výdaje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40C079A3" w:rsidR="00726F7F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9738916" w:rsidR="00991E7D" w:rsidRPr="00060075" w:rsidRDefault="00060075" w:rsidP="00991E7D">
      <w:pPr>
        <w:rPr>
          <w:i/>
          <w:color w:val="FF0000"/>
        </w:rPr>
      </w:pPr>
      <w:r w:rsidRPr="00060075">
        <w:rPr>
          <w:i/>
          <w:color w:val="FF0000"/>
          <w:sz w:val="20"/>
          <w:szCs w:val="20"/>
        </w:rPr>
        <w:t xml:space="preserve">Žadatelem uvedené  částky </w:t>
      </w:r>
      <w:r w:rsidR="005F0C61">
        <w:rPr>
          <w:i/>
          <w:color w:val="FF0000"/>
          <w:sz w:val="20"/>
          <w:szCs w:val="20"/>
        </w:rPr>
        <w:t xml:space="preserve">CZV </w:t>
      </w:r>
      <w:r w:rsidRPr="00060075">
        <w:rPr>
          <w:i/>
          <w:color w:val="FF0000"/>
          <w:sz w:val="20"/>
          <w:szCs w:val="20"/>
        </w:rPr>
        <w:t>jsou brány jako maximální možné a nelze je překročit.  Překročení  při podání  žádosti  do  systému MS21+ budeme považovat  za porušení  soul</w:t>
      </w:r>
      <w:r>
        <w:rPr>
          <w:i/>
          <w:color w:val="FF0000"/>
          <w:sz w:val="20"/>
          <w:szCs w:val="20"/>
        </w:rPr>
        <w:t>adu</w:t>
      </w:r>
      <w:r w:rsidRPr="00060075">
        <w:rPr>
          <w:i/>
          <w:color w:val="FF0000"/>
          <w:sz w:val="20"/>
          <w:szCs w:val="20"/>
        </w:rPr>
        <w:t xml:space="preserve"> s</w:t>
      </w:r>
      <w:r w:rsidR="005F0C61">
        <w:rPr>
          <w:i/>
          <w:color w:val="FF0000"/>
          <w:sz w:val="20"/>
          <w:szCs w:val="20"/>
        </w:rPr>
        <w:t>e</w:t>
      </w:r>
      <w:r w:rsidRPr="00060075">
        <w:rPr>
          <w:i/>
          <w:color w:val="FF0000"/>
          <w:sz w:val="20"/>
          <w:szCs w:val="20"/>
        </w:rPr>
        <w:t> SCLLD.</w:t>
      </w:r>
    </w:p>
    <w:p w14:paraId="4D027777" w14:textId="2CC2335A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430E27" w:rsidRPr="00586900" w14:paraId="6A211B7C" w14:textId="77777777" w:rsidTr="001F03C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2C5541" w14:textId="77777777" w:rsidR="00C03599" w:rsidRPr="004C1202" w:rsidRDefault="00C03599" w:rsidP="00C03599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4C1202">
              <w:rPr>
                <w:rFonts w:cs="Calibri"/>
                <w:b/>
                <w:bCs/>
                <w:color w:val="000000"/>
              </w:rPr>
              <w:t xml:space="preserve">Projekt je zaměřen na </w:t>
            </w:r>
            <w:r>
              <w:rPr>
                <w:rFonts w:cs="Calibri"/>
                <w:b/>
                <w:bCs/>
                <w:color w:val="000000"/>
              </w:rPr>
              <w:t>více učeben/družin</w:t>
            </w:r>
          </w:p>
          <w:p w14:paraId="23BF0F77" w14:textId="1B0154B2" w:rsidR="00102E11" w:rsidRDefault="00102E11" w:rsidP="00430E27">
            <w:pPr>
              <w:rPr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i/>
                <w:color w:val="FF0000"/>
                <w:sz w:val="20"/>
                <w:szCs w:val="20"/>
                <w:highlight w:val="yellow"/>
              </w:rPr>
              <w:t>Doplňte</w:t>
            </w:r>
            <w:r w:rsidR="002921C0">
              <w:rPr>
                <w:i/>
                <w:color w:val="FF0000"/>
                <w:sz w:val="20"/>
                <w:szCs w:val="20"/>
                <w:highlight w:val="yellow"/>
              </w:rPr>
              <w:t xml:space="preserve"> počet učeben/družin</w:t>
            </w:r>
          </w:p>
          <w:p w14:paraId="4533AA82" w14:textId="3765463C" w:rsidR="00430E27" w:rsidRPr="005556D0" w:rsidRDefault="00430E27" w:rsidP="002921C0">
            <w:pPr>
              <w:rPr>
                <w:b/>
                <w:highlight w:val="yellow"/>
              </w:rPr>
            </w:pPr>
          </w:p>
        </w:tc>
      </w:tr>
      <w:tr w:rsidR="00430E27" w:rsidRPr="00586900" w14:paraId="1D003866" w14:textId="77777777" w:rsidTr="001F03C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CA8F29" w14:textId="77777777" w:rsidR="00C03599" w:rsidRPr="002921C0" w:rsidRDefault="00C03599" w:rsidP="002921C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 w:rsidRPr="002921C0">
              <w:rPr>
                <w:rFonts w:cs="Calibri"/>
                <w:b/>
                <w:bCs/>
                <w:color w:val="000000"/>
              </w:rPr>
              <w:t>Projekt je zaměřen na více než jednu z klíčových kompetencí IROP, nebo  školní  družinu</w:t>
            </w:r>
          </w:p>
          <w:p w14:paraId="2D720416" w14:textId="59175F98" w:rsidR="00102E11" w:rsidRDefault="002921C0" w:rsidP="002921C0">
            <w:pPr>
              <w:rPr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i/>
                <w:color w:val="FF0000"/>
                <w:sz w:val="20"/>
                <w:szCs w:val="20"/>
                <w:highlight w:val="yellow"/>
              </w:rPr>
              <w:t>Vyberte zaměření projektu:</w:t>
            </w:r>
          </w:p>
          <w:p w14:paraId="02793257" w14:textId="3CB8CB92" w:rsidR="002921C0" w:rsidRDefault="002921C0" w:rsidP="002921C0">
            <w:pPr>
              <w:rPr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i/>
                <w:color w:val="FF0000"/>
                <w:sz w:val="20"/>
                <w:szCs w:val="20"/>
                <w:highlight w:val="yellow"/>
              </w:rPr>
              <w:t>Družina</w:t>
            </w:r>
          </w:p>
          <w:p w14:paraId="420528BB" w14:textId="77777777" w:rsidR="002921C0" w:rsidRPr="002921C0" w:rsidRDefault="002921C0" w:rsidP="002921C0">
            <w:pPr>
              <w:rPr>
                <w:i/>
                <w:color w:val="FF0000"/>
                <w:sz w:val="20"/>
                <w:szCs w:val="20"/>
                <w:highlight w:val="yellow"/>
              </w:rPr>
            </w:pPr>
            <w:r w:rsidRPr="002921C0">
              <w:rPr>
                <w:i/>
                <w:color w:val="FF0000"/>
                <w:sz w:val="20"/>
                <w:szCs w:val="20"/>
                <w:highlight w:val="yellow"/>
              </w:rPr>
              <w:t>Klíčové kompetence IROP:</w:t>
            </w:r>
          </w:p>
          <w:p w14:paraId="5AF86CCB" w14:textId="77777777" w:rsidR="002921C0" w:rsidRPr="002921C0" w:rsidRDefault="002921C0" w:rsidP="002921C0">
            <w:pPr>
              <w:pStyle w:val="Odstavecseseznamem"/>
              <w:numPr>
                <w:ilvl w:val="0"/>
                <w:numId w:val="3"/>
              </w:numPr>
              <w:rPr>
                <w:i/>
                <w:color w:val="FF0000"/>
                <w:sz w:val="20"/>
                <w:szCs w:val="20"/>
                <w:highlight w:val="yellow"/>
              </w:rPr>
            </w:pPr>
            <w:r w:rsidRPr="002921C0">
              <w:rPr>
                <w:i/>
                <w:color w:val="FF0000"/>
                <w:sz w:val="20"/>
                <w:szCs w:val="20"/>
                <w:highlight w:val="yellow"/>
              </w:rPr>
              <w:t>komunikace v cizích jazycích</w:t>
            </w:r>
          </w:p>
          <w:p w14:paraId="07727FF1" w14:textId="77777777" w:rsidR="002921C0" w:rsidRPr="002921C0" w:rsidRDefault="002921C0" w:rsidP="002921C0">
            <w:pPr>
              <w:pStyle w:val="Odstavecseseznamem"/>
              <w:numPr>
                <w:ilvl w:val="0"/>
                <w:numId w:val="3"/>
              </w:numPr>
              <w:rPr>
                <w:i/>
                <w:color w:val="FF0000"/>
                <w:sz w:val="20"/>
                <w:szCs w:val="20"/>
                <w:highlight w:val="yellow"/>
              </w:rPr>
            </w:pPr>
            <w:r w:rsidRPr="002921C0">
              <w:rPr>
                <w:i/>
                <w:color w:val="FF0000"/>
                <w:sz w:val="20"/>
                <w:szCs w:val="20"/>
                <w:highlight w:val="yellow"/>
              </w:rPr>
              <w:t>technických a řemeslných oborů</w:t>
            </w:r>
          </w:p>
          <w:p w14:paraId="04421EDA" w14:textId="77777777" w:rsidR="002921C0" w:rsidRDefault="002921C0" w:rsidP="002921C0">
            <w:pPr>
              <w:pStyle w:val="Odstavecseseznamem"/>
              <w:numPr>
                <w:ilvl w:val="0"/>
                <w:numId w:val="3"/>
              </w:numPr>
              <w:rPr>
                <w:i/>
                <w:color w:val="FF0000"/>
                <w:sz w:val="20"/>
                <w:szCs w:val="20"/>
                <w:highlight w:val="yellow"/>
              </w:rPr>
            </w:pPr>
            <w:r w:rsidRPr="002921C0">
              <w:rPr>
                <w:i/>
                <w:color w:val="FF0000"/>
                <w:sz w:val="20"/>
                <w:szCs w:val="20"/>
                <w:highlight w:val="yellow"/>
              </w:rPr>
              <w:t>přírodních věd</w:t>
            </w:r>
          </w:p>
          <w:p w14:paraId="7D82C659" w14:textId="28E902F4" w:rsidR="00430E27" w:rsidRPr="009A1A10" w:rsidRDefault="002921C0" w:rsidP="002921C0">
            <w:pPr>
              <w:pStyle w:val="Odstavecseseznamem"/>
              <w:numPr>
                <w:ilvl w:val="0"/>
                <w:numId w:val="3"/>
              </w:numPr>
              <w:rPr>
                <w:i/>
                <w:color w:val="FF0000"/>
                <w:sz w:val="20"/>
                <w:szCs w:val="20"/>
                <w:highlight w:val="yellow"/>
              </w:rPr>
            </w:pPr>
            <w:r w:rsidRPr="002921C0">
              <w:rPr>
                <w:i/>
                <w:color w:val="FF0000"/>
                <w:sz w:val="20"/>
                <w:szCs w:val="20"/>
                <w:highlight w:val="yellow"/>
              </w:rPr>
              <w:lastRenderedPageBreak/>
              <w:t>práce s digitálními technologiemi</w:t>
            </w:r>
          </w:p>
        </w:tc>
      </w:tr>
      <w:tr w:rsidR="00430E27" w:rsidRPr="00586900" w14:paraId="0B92D8F0" w14:textId="77777777" w:rsidTr="001F03C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1D6D03" w14:textId="2E756947" w:rsidR="00430E27" w:rsidRPr="005556D0" w:rsidRDefault="00C03599" w:rsidP="00430E27">
            <w:pPr>
              <w:rPr>
                <w:i/>
                <w:color w:val="FF0000"/>
                <w:sz w:val="20"/>
                <w:szCs w:val="20"/>
                <w:highlight w:val="yellow"/>
              </w:rPr>
            </w:pPr>
            <w:r w:rsidRPr="004C1202">
              <w:rPr>
                <w:rFonts w:cs="Calibri"/>
                <w:b/>
                <w:bCs/>
                <w:color w:val="000000"/>
              </w:rPr>
              <w:lastRenderedPageBreak/>
              <w:t xml:space="preserve">Kapacita </w:t>
            </w:r>
            <w:r>
              <w:rPr>
                <w:rFonts w:cs="Calibri"/>
                <w:b/>
                <w:bCs/>
                <w:color w:val="000000"/>
              </w:rPr>
              <w:t>řešených</w:t>
            </w:r>
            <w:r w:rsidRPr="004C1202">
              <w:rPr>
                <w:rFonts w:cs="Calibri"/>
                <w:b/>
                <w:bCs/>
                <w:color w:val="000000"/>
              </w:rPr>
              <w:t xml:space="preserve"> učeben</w:t>
            </w:r>
            <w:r>
              <w:rPr>
                <w:rFonts w:cs="Calibri"/>
                <w:b/>
                <w:bCs/>
                <w:color w:val="000000"/>
              </w:rPr>
              <w:t>/družin</w:t>
            </w:r>
            <w:r w:rsidRPr="004C1202">
              <w:rPr>
                <w:rFonts w:cs="Calibri"/>
                <w:b/>
                <w:bCs/>
                <w:color w:val="000000"/>
              </w:rPr>
              <w:t xml:space="preserve"> v součtu za projekt </w:t>
            </w:r>
          </w:p>
          <w:p w14:paraId="41A900DC" w14:textId="7BD9B5C8" w:rsidR="00430E27" w:rsidRPr="00102E11" w:rsidRDefault="00102E11" w:rsidP="001F03CD">
            <w:pPr>
              <w:rPr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i/>
                <w:color w:val="FF0000"/>
                <w:sz w:val="20"/>
                <w:szCs w:val="20"/>
                <w:highlight w:val="yellow"/>
              </w:rPr>
              <w:t>Doplňte</w:t>
            </w:r>
            <w:r w:rsidR="002921C0">
              <w:rPr>
                <w:i/>
                <w:color w:val="FF0000"/>
                <w:sz w:val="20"/>
                <w:szCs w:val="20"/>
                <w:highlight w:val="yellow"/>
              </w:rPr>
              <w:t xml:space="preserve"> kapacitu</w:t>
            </w:r>
          </w:p>
        </w:tc>
      </w:tr>
      <w:tr w:rsidR="00430E27" w:rsidRPr="00586900" w14:paraId="7198074A" w14:textId="77777777" w:rsidTr="001F03C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DA1EA9" w14:textId="77777777" w:rsidR="00C03599" w:rsidRDefault="00C03599" w:rsidP="00430E27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Žadatel nečerpal dotaci v rámci výzev IROP  SCLLD Prostějov venkov o.p.s. 2014-2020</w:t>
            </w:r>
          </w:p>
          <w:p w14:paraId="2B469FCF" w14:textId="11D15859" w:rsidR="00102E11" w:rsidRDefault="002921C0" w:rsidP="00102E11">
            <w:pPr>
              <w:rPr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i/>
                <w:color w:val="FF0000"/>
                <w:sz w:val="20"/>
                <w:szCs w:val="20"/>
                <w:highlight w:val="yellow"/>
              </w:rPr>
              <w:t>Vyberte:</w:t>
            </w:r>
          </w:p>
          <w:p w14:paraId="27370C00" w14:textId="6864F539" w:rsidR="002921C0" w:rsidRDefault="002921C0" w:rsidP="00102E11">
            <w:pPr>
              <w:rPr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i/>
                <w:color w:val="FF0000"/>
                <w:sz w:val="20"/>
                <w:szCs w:val="20"/>
                <w:highlight w:val="yellow"/>
              </w:rPr>
              <w:t>Nečerpal</w:t>
            </w:r>
          </w:p>
          <w:p w14:paraId="04206CD1" w14:textId="5D53AA4D" w:rsidR="002921C0" w:rsidRDefault="002921C0" w:rsidP="00102E11">
            <w:pPr>
              <w:rPr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i/>
                <w:color w:val="FF0000"/>
                <w:sz w:val="20"/>
                <w:szCs w:val="20"/>
                <w:highlight w:val="yellow"/>
              </w:rPr>
              <w:t>Čerpal – doplňte rok, název projektu  a jeho  číslo</w:t>
            </w:r>
          </w:p>
          <w:p w14:paraId="0F70B337" w14:textId="0D075858" w:rsidR="00430E27" w:rsidRPr="005556D0" w:rsidRDefault="00430E27" w:rsidP="00C03599">
            <w:pPr>
              <w:rPr>
                <w:b/>
                <w:highlight w:val="yellow"/>
              </w:rPr>
            </w:pPr>
          </w:p>
        </w:tc>
      </w:tr>
      <w:tr w:rsidR="0032290B" w:rsidRPr="00586900" w14:paraId="277E0822" w14:textId="77777777" w:rsidTr="001F03CD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ED15A9B" w14:textId="77777777" w:rsidR="005F1506" w:rsidRDefault="005F1506" w:rsidP="00430E27">
            <w:pPr>
              <w:rPr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cs="Calibri"/>
                <w:b/>
                <w:bCs/>
                <w:color w:val="000000"/>
              </w:rPr>
              <w:t>Technická připravenost  projektu v době podání projektového záměru</w:t>
            </w:r>
            <w:r w:rsidRPr="005556D0">
              <w:rPr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</w:p>
          <w:p w14:paraId="749ED134" w14:textId="14DEA10D" w:rsidR="00102E11" w:rsidRDefault="002921C0" w:rsidP="00102E11">
            <w:pPr>
              <w:rPr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i/>
                <w:color w:val="FF0000"/>
                <w:sz w:val="20"/>
                <w:szCs w:val="20"/>
                <w:highlight w:val="yellow"/>
              </w:rPr>
              <w:t xml:space="preserve">Popište dokumenty dle preferenčního kritéria MAS </w:t>
            </w:r>
          </w:p>
          <w:p w14:paraId="0244E125" w14:textId="699D355E" w:rsidR="00430E27" w:rsidRPr="005556D0" w:rsidRDefault="00430E27" w:rsidP="005F1506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3138DC43" w14:textId="36F1BD03" w:rsidR="0032290B" w:rsidRPr="0032290B" w:rsidRDefault="0032290B" w:rsidP="00647584">
      <w:pPr>
        <w:rPr>
          <w:i/>
          <w:color w:val="FF0000"/>
        </w:rPr>
      </w:pPr>
      <w:r w:rsidRPr="0032290B">
        <w:rPr>
          <w:i/>
          <w:color w:val="FF0000"/>
        </w:rPr>
        <w:t xml:space="preserve">Prokázání nároku  na přidělení  preferenčních  kritérií  je třeba doložit např.  stavebně technickou  dokumentací s jasně uvedenými  parametry </w:t>
      </w:r>
      <w:r w:rsidR="005556D0">
        <w:rPr>
          <w:i/>
          <w:color w:val="FF0000"/>
        </w:rPr>
        <w:t>kapacity tříd</w:t>
      </w:r>
      <w:r w:rsidRPr="0032290B">
        <w:rPr>
          <w:i/>
          <w:color w:val="FF0000"/>
        </w:rPr>
        <w:t xml:space="preserve">  a</w:t>
      </w:r>
      <w:r>
        <w:rPr>
          <w:i/>
          <w:color w:val="FF0000"/>
        </w:rPr>
        <w:t xml:space="preserve"> </w:t>
      </w:r>
      <w:r w:rsidRPr="0032290B">
        <w:rPr>
          <w:i/>
          <w:color w:val="FF0000"/>
        </w:rPr>
        <w:t xml:space="preserve">pod. </w:t>
      </w:r>
    </w:p>
    <w:p w14:paraId="1ACA049A" w14:textId="20A475B7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8"/>
        <w:gridCol w:w="3984"/>
        <w:gridCol w:w="1408"/>
        <w:gridCol w:w="1382"/>
        <w:gridCol w:w="1260"/>
      </w:tblGrid>
      <w:tr w:rsidR="0032290B" w:rsidRPr="00D62762" w14:paraId="175B90DE" w14:textId="77777777" w:rsidTr="009A1A10">
        <w:trPr>
          <w:trHeight w:val="885"/>
          <w:jc w:val="center"/>
        </w:trPr>
        <w:tc>
          <w:tcPr>
            <w:tcW w:w="978" w:type="dxa"/>
            <w:shd w:val="clear" w:color="auto" w:fill="auto"/>
            <w:vAlign w:val="center"/>
            <w:hideMark/>
          </w:tcPr>
          <w:p w14:paraId="664D3863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984" w:type="dxa"/>
            <w:shd w:val="clear" w:color="auto" w:fill="auto"/>
            <w:vAlign w:val="center"/>
            <w:hideMark/>
          </w:tcPr>
          <w:p w14:paraId="3B791AB0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0019AEB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8A10010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38C45B8" w14:textId="77777777" w:rsidR="0032290B" w:rsidRPr="00C4566E" w:rsidRDefault="0032290B" w:rsidP="001F03C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5556D0" w:rsidRPr="001C1F58" w14:paraId="318152A2" w14:textId="77777777" w:rsidTr="009A1A10">
        <w:trPr>
          <w:trHeight w:val="255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 w14:paraId="0817D5DA" w14:textId="6AA81352" w:rsidR="005556D0" w:rsidRPr="005556D0" w:rsidRDefault="005556D0" w:rsidP="005556D0">
            <w:pPr>
              <w:spacing w:after="0" w:line="240" w:lineRule="auto"/>
              <w:rPr>
                <w:rFonts w:cs="Arial"/>
                <w:szCs w:val="20"/>
              </w:rPr>
            </w:pPr>
            <w:r w:rsidRPr="005556D0">
              <w:rPr>
                <w:rFonts w:cs="Arial"/>
                <w:szCs w:val="20"/>
              </w:rPr>
              <w:t>500 002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1573AFF0" w14:textId="6C72B2D3" w:rsidR="005556D0" w:rsidRPr="005556D0" w:rsidRDefault="005556D0" w:rsidP="005556D0">
            <w:pPr>
              <w:spacing w:after="0" w:line="240" w:lineRule="auto"/>
              <w:rPr>
                <w:rFonts w:cs="Arial"/>
                <w:szCs w:val="20"/>
              </w:rPr>
            </w:pPr>
            <w:r w:rsidRPr="005556D0">
              <w:rPr>
                <w:rFonts w:cs="Arial"/>
                <w:szCs w:val="20"/>
              </w:rPr>
              <w:t>Počet podpořenýc</w:t>
            </w:r>
            <w:r>
              <w:rPr>
                <w:rFonts w:cs="Arial"/>
                <w:szCs w:val="20"/>
              </w:rPr>
              <w:t>h škol či vzdělávacích zařízení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2315651" w14:textId="60D236F1" w:rsidR="005556D0" w:rsidRPr="00586900" w:rsidRDefault="003A556A" w:rsidP="005556D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9C929E3" w14:textId="17471505" w:rsidR="005556D0" w:rsidRPr="00006DA8" w:rsidRDefault="005556D0" w:rsidP="005556D0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5588F62" w14:textId="1CFE2348" w:rsidR="005556D0" w:rsidRPr="00006DA8" w:rsidRDefault="005556D0" w:rsidP="005556D0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A80735" w:rsidRPr="001C1F58" w14:paraId="23E8C98B" w14:textId="77777777" w:rsidTr="009A1A10">
        <w:trPr>
          <w:trHeight w:val="255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 w14:paraId="47B9314E" w14:textId="4E16B3D6" w:rsidR="00A80735" w:rsidRPr="005556D0" w:rsidRDefault="00A80735" w:rsidP="00A80735">
            <w:pPr>
              <w:spacing w:after="0" w:line="240" w:lineRule="auto"/>
              <w:rPr>
                <w:rFonts w:cs="Arial"/>
                <w:szCs w:val="20"/>
              </w:rPr>
            </w:pPr>
            <w:r w:rsidRPr="005556D0">
              <w:rPr>
                <w:rFonts w:cs="Arial"/>
                <w:szCs w:val="20"/>
              </w:rPr>
              <w:t>500 501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26A54964" w14:textId="57FE00D1" w:rsidR="00A80735" w:rsidRPr="005556D0" w:rsidRDefault="00A80735" w:rsidP="00A80735">
            <w:pPr>
              <w:spacing w:after="0" w:line="240" w:lineRule="auto"/>
              <w:rPr>
                <w:rFonts w:cs="Arial"/>
                <w:szCs w:val="20"/>
              </w:rPr>
            </w:pPr>
            <w:r w:rsidRPr="005556D0">
              <w:rPr>
                <w:rFonts w:cs="Arial"/>
                <w:szCs w:val="20"/>
              </w:rPr>
              <w:t>Počet uživatelů nových nebo modernizovaných vzdělávacích zařízení za rok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DFD42D1" w14:textId="4672373B" w:rsidR="00A80735" w:rsidRPr="00586900" w:rsidRDefault="00A80735" w:rsidP="00A8073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uživatelů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7F91C52" w14:textId="26BD9C17" w:rsidR="00A80735" w:rsidRPr="00006DA8" w:rsidRDefault="00A80735" w:rsidP="00A80735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AC0722B" w14:textId="5319E709" w:rsidR="00A80735" w:rsidRPr="00006DA8" w:rsidRDefault="00A80735" w:rsidP="00A80735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A80735" w:rsidRPr="001C1F58" w14:paraId="60D97951" w14:textId="77777777" w:rsidTr="009A1A10">
        <w:trPr>
          <w:trHeight w:val="255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 w14:paraId="4FCF0A84" w14:textId="32168EB3" w:rsidR="00A80735" w:rsidRPr="005556D0" w:rsidRDefault="00A80735" w:rsidP="00A80735">
            <w:pPr>
              <w:spacing w:after="0" w:line="240" w:lineRule="auto"/>
              <w:rPr>
                <w:rFonts w:cs="Arial"/>
                <w:szCs w:val="20"/>
              </w:rPr>
            </w:pPr>
            <w:r w:rsidRPr="005556D0">
              <w:rPr>
                <w:rFonts w:cs="Arial"/>
                <w:szCs w:val="20"/>
              </w:rPr>
              <w:t>509 021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54D349DC" w14:textId="4FBDD748" w:rsidR="00A80735" w:rsidRPr="005556D0" w:rsidRDefault="00A80735" w:rsidP="00A80735">
            <w:pPr>
              <w:spacing w:after="0" w:line="240" w:lineRule="auto"/>
              <w:rPr>
                <w:rFonts w:cs="Arial"/>
                <w:szCs w:val="20"/>
              </w:rPr>
            </w:pPr>
            <w:r w:rsidRPr="005556D0">
              <w:rPr>
                <w:rFonts w:cs="Arial"/>
                <w:szCs w:val="20"/>
              </w:rPr>
              <w:t>Kapacita nových učeben v podpořených vzdělávacích zařízeních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8C569F1" w14:textId="7052EF3A" w:rsidR="00A80735" w:rsidRPr="00586900" w:rsidRDefault="003A556A" w:rsidP="00A8073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87E2767" w14:textId="5C9C390D" w:rsidR="00A80735" w:rsidRPr="00006DA8" w:rsidRDefault="00A80735" w:rsidP="00A80735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ABA86FC" w14:textId="704594E4" w:rsidR="00A80735" w:rsidRPr="00006DA8" w:rsidRDefault="00A80735" w:rsidP="00A80735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A80735" w:rsidRPr="001C1F58" w14:paraId="18081BA6" w14:textId="77777777" w:rsidTr="009A1A10">
        <w:trPr>
          <w:trHeight w:val="255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 w14:paraId="4A92B323" w14:textId="4BCBA543" w:rsidR="00A80735" w:rsidRPr="005556D0" w:rsidRDefault="00A80735" w:rsidP="00A80735">
            <w:pPr>
              <w:spacing w:after="0" w:line="240" w:lineRule="auto"/>
              <w:rPr>
                <w:rFonts w:cs="Arial"/>
                <w:szCs w:val="20"/>
              </w:rPr>
            </w:pPr>
            <w:r w:rsidRPr="005556D0">
              <w:rPr>
                <w:rFonts w:cs="Arial"/>
                <w:szCs w:val="20"/>
              </w:rPr>
              <w:t>509 031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75F1A739" w14:textId="4E411387" w:rsidR="00A80735" w:rsidRPr="005556D0" w:rsidRDefault="00A80735" w:rsidP="00A80735">
            <w:pPr>
              <w:spacing w:after="0" w:line="240" w:lineRule="auto"/>
              <w:rPr>
                <w:rFonts w:cs="Arial"/>
                <w:szCs w:val="20"/>
              </w:rPr>
            </w:pPr>
            <w:r w:rsidRPr="005556D0">
              <w:rPr>
                <w:rFonts w:cs="Arial"/>
                <w:szCs w:val="20"/>
              </w:rPr>
              <w:t>Kapacita rekonstruovaných či modernizovaných učeben v</w:t>
            </w:r>
            <w:r>
              <w:rPr>
                <w:rFonts w:cs="Arial"/>
                <w:szCs w:val="20"/>
              </w:rPr>
              <w:t> </w:t>
            </w:r>
            <w:r w:rsidRPr="005556D0">
              <w:rPr>
                <w:rFonts w:cs="Arial"/>
                <w:szCs w:val="20"/>
              </w:rPr>
              <w:t>podpořených</w:t>
            </w:r>
            <w:r>
              <w:rPr>
                <w:rFonts w:cs="Arial"/>
                <w:szCs w:val="20"/>
              </w:rPr>
              <w:t xml:space="preserve"> </w:t>
            </w:r>
          </w:p>
          <w:p w14:paraId="78EF229F" w14:textId="57C1356B" w:rsidR="00A80735" w:rsidRPr="005556D0" w:rsidRDefault="00A80735" w:rsidP="00A8073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vzdělávacích </w:t>
            </w:r>
            <w:proofErr w:type="gramStart"/>
            <w:r>
              <w:rPr>
                <w:rFonts w:cs="Arial"/>
                <w:szCs w:val="20"/>
              </w:rPr>
              <w:t>zařízeních</w:t>
            </w:r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91036F6" w14:textId="2F9ADF32" w:rsidR="00A80735" w:rsidRPr="00586900" w:rsidRDefault="003A556A" w:rsidP="00A8073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4E191EF5" w14:textId="386DE19E" w:rsidR="00A80735" w:rsidRPr="00006DA8" w:rsidRDefault="00A80735" w:rsidP="00A80735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4C5818F" w14:textId="6A754EBA" w:rsidR="00A80735" w:rsidRPr="00006DA8" w:rsidRDefault="00A80735" w:rsidP="00A80735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A80735" w:rsidRPr="001C1F58" w14:paraId="19AE4568" w14:textId="77777777" w:rsidTr="009A1A10">
        <w:trPr>
          <w:trHeight w:val="255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 w14:paraId="0C7590E4" w14:textId="4A7603B7" w:rsidR="00A80735" w:rsidRPr="005556D0" w:rsidRDefault="00A80735" w:rsidP="00A80735">
            <w:pPr>
              <w:spacing w:after="0" w:line="240" w:lineRule="auto"/>
              <w:rPr>
                <w:rFonts w:cs="Arial"/>
                <w:szCs w:val="20"/>
              </w:rPr>
            </w:pPr>
            <w:r w:rsidRPr="005556D0">
              <w:rPr>
                <w:rFonts w:cs="Arial"/>
                <w:szCs w:val="20"/>
              </w:rPr>
              <w:t>509 041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154423F7" w14:textId="13840D0C" w:rsidR="00A80735" w:rsidRPr="005556D0" w:rsidRDefault="00A80735" w:rsidP="00A80735">
            <w:pPr>
              <w:spacing w:after="0" w:line="240" w:lineRule="auto"/>
              <w:rPr>
                <w:rFonts w:cs="Arial"/>
                <w:szCs w:val="20"/>
              </w:rPr>
            </w:pPr>
            <w:r w:rsidRPr="005556D0">
              <w:rPr>
                <w:rFonts w:cs="Arial"/>
                <w:szCs w:val="20"/>
              </w:rPr>
              <w:t>Počet modernizovaných 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2489DA" w14:textId="21C634F1" w:rsidR="00A80735" w:rsidRPr="00586900" w:rsidRDefault="003A556A" w:rsidP="00A8073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7EC96933" w14:textId="315A17BA" w:rsidR="00A80735" w:rsidRPr="00006DA8" w:rsidRDefault="00A80735" w:rsidP="00A80735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FD5D738" w14:textId="684D1276" w:rsidR="00A80735" w:rsidRPr="00006DA8" w:rsidRDefault="00A80735" w:rsidP="00A80735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A1A10" w:rsidRPr="001C1F58" w14:paraId="1D02C9A9" w14:textId="77777777" w:rsidTr="009A1A10">
        <w:trPr>
          <w:trHeight w:val="255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 w14:paraId="47D59758" w14:textId="4801789A" w:rsidR="009A1A10" w:rsidRPr="005556D0" w:rsidRDefault="009A1A10" w:rsidP="009A1A10">
            <w:pPr>
              <w:spacing w:after="0" w:line="240" w:lineRule="auto"/>
              <w:rPr>
                <w:rFonts w:cs="Arial"/>
                <w:szCs w:val="20"/>
              </w:rPr>
            </w:pPr>
            <w:r w:rsidRPr="003A556A">
              <w:rPr>
                <w:rFonts w:cs="Arial"/>
                <w:szCs w:val="20"/>
              </w:rPr>
              <w:t xml:space="preserve">509 051 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681BD8D1" w14:textId="76BC4655" w:rsidR="009A1A10" w:rsidRPr="005556D0" w:rsidRDefault="009A1A10" w:rsidP="009A1A10">
            <w:pPr>
              <w:spacing w:after="0" w:line="240" w:lineRule="auto"/>
              <w:rPr>
                <w:rFonts w:cs="Arial"/>
                <w:szCs w:val="20"/>
              </w:rPr>
            </w:pPr>
            <w:r w:rsidRPr="003A556A">
              <w:rPr>
                <w:rFonts w:cs="Arial"/>
                <w:szCs w:val="20"/>
              </w:rPr>
              <w:t>Počet nových 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F59BF91" w14:textId="4A7FF40F" w:rsidR="009A1A10" w:rsidRPr="00586900" w:rsidRDefault="009A1A10" w:rsidP="009A1A1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116D7E6" w14:textId="5437C650" w:rsidR="009A1A10" w:rsidRPr="00006DA8" w:rsidRDefault="009A1A10" w:rsidP="009A1A10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4654B33" w14:textId="7ABFD65B" w:rsidR="009A1A10" w:rsidRPr="00006DA8" w:rsidRDefault="009A1A10" w:rsidP="009A1A10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A80735" w:rsidRPr="001C1F58" w14:paraId="376864AC" w14:textId="77777777" w:rsidTr="009A1A10">
        <w:trPr>
          <w:trHeight w:val="255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 w14:paraId="0AACACA6" w14:textId="370EDAE1" w:rsidR="00A80735" w:rsidRPr="005556D0" w:rsidRDefault="00A80735" w:rsidP="00A80735">
            <w:pPr>
              <w:spacing w:after="0" w:line="240" w:lineRule="auto"/>
              <w:rPr>
                <w:rFonts w:cs="Arial"/>
                <w:szCs w:val="20"/>
              </w:rPr>
            </w:pPr>
            <w:r w:rsidRPr="005556D0">
              <w:rPr>
                <w:rFonts w:cs="Arial"/>
                <w:szCs w:val="20"/>
              </w:rPr>
              <w:t>323 000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4FEFC6E0" w14:textId="77777777" w:rsidR="00A80735" w:rsidRPr="005556D0" w:rsidRDefault="00A80735" w:rsidP="00A80735">
            <w:pPr>
              <w:spacing w:after="0" w:line="240" w:lineRule="auto"/>
              <w:rPr>
                <w:rFonts w:cs="Arial"/>
                <w:szCs w:val="20"/>
              </w:rPr>
            </w:pPr>
            <w:r w:rsidRPr="005556D0">
              <w:rPr>
                <w:rFonts w:cs="Arial"/>
                <w:szCs w:val="20"/>
              </w:rPr>
              <w:t>Snížení konečné spotřeby energie u podpořených subjektů</w:t>
            </w:r>
          </w:p>
          <w:p w14:paraId="1D681E8B" w14:textId="77777777" w:rsidR="00A80735" w:rsidRPr="005556D0" w:rsidRDefault="00A80735" w:rsidP="00A80735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E6883DA" w14:textId="0E729F9D" w:rsidR="00A80735" w:rsidRPr="00586900" w:rsidRDefault="003A556A" w:rsidP="00A8073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4A97155E" w14:textId="6FCA152D" w:rsidR="00A80735" w:rsidRPr="00006DA8" w:rsidRDefault="00A80735" w:rsidP="00A80735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11B8274" w14:textId="369B5729" w:rsidR="00A80735" w:rsidRPr="00006DA8" w:rsidRDefault="00A80735" w:rsidP="00A80735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6044B7CF" w14:textId="10D8FA82" w:rsidR="0032290B" w:rsidRDefault="0032290B" w:rsidP="00647584">
      <w:pPr>
        <w:rPr>
          <w:b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5088"/>
      </w:tblGrid>
      <w:tr w:rsidR="003479B6" w14:paraId="0D954838" w14:textId="77777777" w:rsidTr="003479B6">
        <w:tc>
          <w:tcPr>
            <w:tcW w:w="3954" w:type="dxa"/>
          </w:tcPr>
          <w:p w14:paraId="4F13CAA9" w14:textId="7F231C5A" w:rsidR="003479B6" w:rsidRPr="003479B6" w:rsidRDefault="003479B6" w:rsidP="003479B6">
            <w:pPr>
              <w:rPr>
                <w:rFonts w:cs="Arial"/>
                <w:szCs w:val="20"/>
              </w:rPr>
            </w:pPr>
            <w:r w:rsidRPr="003479B6">
              <w:rPr>
                <w:rFonts w:cs="Arial"/>
                <w:szCs w:val="20"/>
              </w:rPr>
              <w:t xml:space="preserve">Odkaz na platný Strategický rámec MAP </w:t>
            </w:r>
          </w:p>
        </w:tc>
        <w:tc>
          <w:tcPr>
            <w:tcW w:w="5088" w:type="dxa"/>
          </w:tcPr>
          <w:p w14:paraId="45529E72" w14:textId="77777777" w:rsidR="003479B6" w:rsidRDefault="003479B6" w:rsidP="00647584">
            <w:pPr>
              <w:rPr>
                <w:b/>
              </w:rPr>
            </w:pPr>
          </w:p>
        </w:tc>
      </w:tr>
      <w:tr w:rsidR="003479B6" w14:paraId="69D97151" w14:textId="77777777" w:rsidTr="003479B6">
        <w:tc>
          <w:tcPr>
            <w:tcW w:w="3954" w:type="dxa"/>
          </w:tcPr>
          <w:p w14:paraId="75B5C036" w14:textId="0651FDDD" w:rsidR="003479B6" w:rsidRPr="003479B6" w:rsidRDefault="003479B6" w:rsidP="003479B6">
            <w:pPr>
              <w:rPr>
                <w:rFonts w:cs="Arial"/>
                <w:szCs w:val="20"/>
              </w:rPr>
            </w:pPr>
            <w:r w:rsidRPr="003479B6">
              <w:rPr>
                <w:rFonts w:cs="Arial"/>
                <w:szCs w:val="20"/>
              </w:rPr>
              <w:t>Název projektového záměru  v SR MAP</w:t>
            </w:r>
          </w:p>
        </w:tc>
        <w:tc>
          <w:tcPr>
            <w:tcW w:w="5088" w:type="dxa"/>
          </w:tcPr>
          <w:p w14:paraId="589BBE1E" w14:textId="77777777" w:rsidR="003479B6" w:rsidRDefault="003479B6" w:rsidP="00647584">
            <w:pPr>
              <w:rPr>
                <w:b/>
              </w:rPr>
            </w:pPr>
          </w:p>
        </w:tc>
      </w:tr>
      <w:tr w:rsidR="003479B6" w14:paraId="36FFCF47" w14:textId="77777777" w:rsidTr="003479B6">
        <w:tc>
          <w:tcPr>
            <w:tcW w:w="3954" w:type="dxa"/>
          </w:tcPr>
          <w:p w14:paraId="2966CA92" w14:textId="406F2473" w:rsidR="003479B6" w:rsidRPr="003479B6" w:rsidRDefault="003479B6" w:rsidP="003479B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Výdaje v SR MAP</w:t>
            </w:r>
          </w:p>
        </w:tc>
        <w:tc>
          <w:tcPr>
            <w:tcW w:w="5088" w:type="dxa"/>
          </w:tcPr>
          <w:p w14:paraId="67760DE4" w14:textId="77777777" w:rsidR="003479B6" w:rsidRDefault="003479B6" w:rsidP="00647584">
            <w:pPr>
              <w:rPr>
                <w:b/>
              </w:rPr>
            </w:pPr>
          </w:p>
        </w:tc>
      </w:tr>
    </w:tbl>
    <w:p w14:paraId="6F0F19BA" w14:textId="77777777" w:rsidR="003479B6" w:rsidRDefault="003479B6" w:rsidP="00647584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10239D1D" w:rsidR="00991E7D" w:rsidRPr="00006DA8" w:rsidRDefault="00586900" w:rsidP="009B7743">
            <w:pPr>
              <w:rPr>
                <w:i/>
                <w:color w:val="FF0000"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 xml:space="preserve">Doplňte </w:t>
            </w:r>
            <w:r w:rsidR="009B7743">
              <w:rPr>
                <w:i/>
                <w:color w:val="FF0000"/>
                <w:sz w:val="20"/>
                <w:szCs w:val="20"/>
              </w:rPr>
              <w:t>fotodokumentace před realizací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1C1F58" w14:paraId="2241227F" w14:textId="77777777" w:rsidTr="00102E11">
        <w:trPr>
          <w:trHeight w:val="255"/>
          <w:jc w:val="center"/>
        </w:trPr>
        <w:tc>
          <w:tcPr>
            <w:tcW w:w="3671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5371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102E11">
        <w:trPr>
          <w:trHeight w:val="255"/>
          <w:jc w:val="center"/>
        </w:trPr>
        <w:tc>
          <w:tcPr>
            <w:tcW w:w="3671" w:type="dxa"/>
            <w:shd w:val="clear" w:color="auto" w:fill="FFFFFF" w:themeFill="background1"/>
            <w:noWrap/>
            <w:vAlign w:val="center"/>
            <w:hideMark/>
          </w:tcPr>
          <w:p w14:paraId="37D5262C" w14:textId="44B91C21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5371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102E11">
        <w:trPr>
          <w:trHeight w:val="255"/>
          <w:jc w:val="center"/>
        </w:trPr>
        <w:tc>
          <w:tcPr>
            <w:tcW w:w="3671" w:type="dxa"/>
            <w:shd w:val="clear" w:color="auto" w:fill="FFFFFF" w:themeFill="background1"/>
            <w:noWrap/>
            <w:vAlign w:val="center"/>
            <w:hideMark/>
          </w:tcPr>
          <w:p w14:paraId="6B818C7A" w14:textId="0C7900F9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 (elektronický podpis)</w:t>
            </w:r>
            <w:r w:rsidR="00991E7D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5371" w:type="dxa"/>
            <w:shd w:val="clear" w:color="auto" w:fill="FFFFFF" w:themeFill="background1"/>
            <w:noWrap/>
            <w:vAlign w:val="center"/>
            <w:hideMark/>
          </w:tcPr>
          <w:p w14:paraId="63F70B6B" w14:textId="6D3100AD" w:rsidR="00991E7D" w:rsidRPr="00006DA8" w:rsidRDefault="007314F2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Cs w:val="20"/>
              </w:rPr>
              <w:t>e</w:t>
            </w:r>
            <w:r w:rsidR="00446298" w:rsidRPr="00006DA8">
              <w:rPr>
                <w:rFonts w:cs="Arial"/>
                <w:bCs/>
                <w:i/>
                <w:color w:val="FF0000"/>
                <w:szCs w:val="20"/>
              </w:rPr>
              <w:t>lektronicky podepište</w:t>
            </w:r>
          </w:p>
        </w:tc>
      </w:tr>
    </w:tbl>
    <w:p w14:paraId="09098E16" w14:textId="77777777" w:rsidR="00991E7D" w:rsidRPr="006E6251" w:rsidRDefault="00991E7D" w:rsidP="00102E11"/>
    <w:sectPr w:rsidR="00991E7D" w:rsidRPr="006E6251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54B8E" w14:textId="77777777" w:rsidR="00877756" w:rsidRDefault="00877756" w:rsidP="00DC4000">
      <w:pPr>
        <w:spacing w:after="0" w:line="240" w:lineRule="auto"/>
      </w:pPr>
      <w:r>
        <w:separator/>
      </w:r>
    </w:p>
  </w:endnote>
  <w:endnote w:type="continuationSeparator" w:id="0">
    <w:p w14:paraId="3FBD7845" w14:textId="77777777" w:rsidR="00877756" w:rsidRDefault="0087775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0BFFC15E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0BA">
          <w:rPr>
            <w:noProof/>
          </w:rP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B2426" w14:textId="77777777" w:rsidR="00877756" w:rsidRDefault="00877756" w:rsidP="00DC4000">
      <w:pPr>
        <w:spacing w:after="0" w:line="240" w:lineRule="auto"/>
      </w:pPr>
      <w:r>
        <w:separator/>
      </w:r>
    </w:p>
  </w:footnote>
  <w:footnote w:type="continuationSeparator" w:id="0">
    <w:p w14:paraId="2F614868" w14:textId="77777777" w:rsidR="00877756" w:rsidRDefault="00877756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3851C0AA" w:rsidR="00DC4000" w:rsidRDefault="00095943" w:rsidP="00095943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01636C3D">
          <wp:simplePos x="0" y="0"/>
          <wp:positionH relativeFrom="margin">
            <wp:posOffset>1228090</wp:posOffset>
          </wp:positionH>
          <wp:positionV relativeFrom="paragraph">
            <wp:posOffset>-60325</wp:posOffset>
          </wp:positionV>
          <wp:extent cx="3444240" cy="413385"/>
          <wp:effectExtent l="0" t="0" r="3810" b="5715"/>
          <wp:wrapTight wrapText="bothSides">
            <wp:wrapPolygon edited="0">
              <wp:start x="0" y="0"/>
              <wp:lineTo x="0" y="20903"/>
              <wp:lineTo x="4062" y="20903"/>
              <wp:lineTo x="20549" y="19908"/>
              <wp:lineTo x="20429" y="15926"/>
              <wp:lineTo x="21504" y="5972"/>
              <wp:lineTo x="21504" y="995"/>
              <wp:lineTo x="40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24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3BB6"/>
    <w:multiLevelType w:val="hybridMultilevel"/>
    <w:tmpl w:val="D3783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06DA8"/>
    <w:rsid w:val="00034644"/>
    <w:rsid w:val="000402A1"/>
    <w:rsid w:val="0005018F"/>
    <w:rsid w:val="00060075"/>
    <w:rsid w:val="00094CE2"/>
    <w:rsid w:val="00095943"/>
    <w:rsid w:val="000C7C81"/>
    <w:rsid w:val="00102E11"/>
    <w:rsid w:val="00106565"/>
    <w:rsid w:val="001115D4"/>
    <w:rsid w:val="00117535"/>
    <w:rsid w:val="001235EA"/>
    <w:rsid w:val="00152495"/>
    <w:rsid w:val="001569BD"/>
    <w:rsid w:val="00167DB9"/>
    <w:rsid w:val="00174A6F"/>
    <w:rsid w:val="002002DB"/>
    <w:rsid w:val="00211D24"/>
    <w:rsid w:val="00223C06"/>
    <w:rsid w:val="0023690F"/>
    <w:rsid w:val="00236CF7"/>
    <w:rsid w:val="002430BA"/>
    <w:rsid w:val="0024672C"/>
    <w:rsid w:val="00260C35"/>
    <w:rsid w:val="002749EF"/>
    <w:rsid w:val="0027541F"/>
    <w:rsid w:val="002921C0"/>
    <w:rsid w:val="002A3A05"/>
    <w:rsid w:val="002E7863"/>
    <w:rsid w:val="00305610"/>
    <w:rsid w:val="00305A1C"/>
    <w:rsid w:val="0032290B"/>
    <w:rsid w:val="00323588"/>
    <w:rsid w:val="00331076"/>
    <w:rsid w:val="003479B6"/>
    <w:rsid w:val="00351DDA"/>
    <w:rsid w:val="00357D39"/>
    <w:rsid w:val="003A556A"/>
    <w:rsid w:val="003A5F7A"/>
    <w:rsid w:val="003E4E8C"/>
    <w:rsid w:val="00430E27"/>
    <w:rsid w:val="00446298"/>
    <w:rsid w:val="00455349"/>
    <w:rsid w:val="00480754"/>
    <w:rsid w:val="00483579"/>
    <w:rsid w:val="004A70A7"/>
    <w:rsid w:val="004D20FC"/>
    <w:rsid w:val="004E36F2"/>
    <w:rsid w:val="004E4B1D"/>
    <w:rsid w:val="00512073"/>
    <w:rsid w:val="0053310C"/>
    <w:rsid w:val="00552CD1"/>
    <w:rsid w:val="005556D0"/>
    <w:rsid w:val="005644BD"/>
    <w:rsid w:val="00566AB1"/>
    <w:rsid w:val="00577F3F"/>
    <w:rsid w:val="00583387"/>
    <w:rsid w:val="00586900"/>
    <w:rsid w:val="005F0C61"/>
    <w:rsid w:val="005F1506"/>
    <w:rsid w:val="006032DC"/>
    <w:rsid w:val="006156C1"/>
    <w:rsid w:val="00647584"/>
    <w:rsid w:val="00650FCD"/>
    <w:rsid w:val="00685A4B"/>
    <w:rsid w:val="006B2083"/>
    <w:rsid w:val="006C580A"/>
    <w:rsid w:val="006D0457"/>
    <w:rsid w:val="006D0DFE"/>
    <w:rsid w:val="006E6251"/>
    <w:rsid w:val="006F460C"/>
    <w:rsid w:val="00726F7F"/>
    <w:rsid w:val="007314F2"/>
    <w:rsid w:val="0074625F"/>
    <w:rsid w:val="00756F8E"/>
    <w:rsid w:val="00757BE5"/>
    <w:rsid w:val="00786B22"/>
    <w:rsid w:val="00791999"/>
    <w:rsid w:val="007A09CC"/>
    <w:rsid w:val="007A2964"/>
    <w:rsid w:val="007B6604"/>
    <w:rsid w:val="007D1E1A"/>
    <w:rsid w:val="00806654"/>
    <w:rsid w:val="00877756"/>
    <w:rsid w:val="008B7B1D"/>
    <w:rsid w:val="008C6FB6"/>
    <w:rsid w:val="008D2D37"/>
    <w:rsid w:val="008F0CBD"/>
    <w:rsid w:val="0094363F"/>
    <w:rsid w:val="00963100"/>
    <w:rsid w:val="0096323D"/>
    <w:rsid w:val="00985397"/>
    <w:rsid w:val="00991E7D"/>
    <w:rsid w:val="009A1A10"/>
    <w:rsid w:val="009B7743"/>
    <w:rsid w:val="009D7D54"/>
    <w:rsid w:val="00A41571"/>
    <w:rsid w:val="00A60342"/>
    <w:rsid w:val="00A80735"/>
    <w:rsid w:val="00A8562A"/>
    <w:rsid w:val="00AC004D"/>
    <w:rsid w:val="00AC110C"/>
    <w:rsid w:val="00AD05DA"/>
    <w:rsid w:val="00B2672F"/>
    <w:rsid w:val="00B34DFA"/>
    <w:rsid w:val="00B51EF3"/>
    <w:rsid w:val="00B579DF"/>
    <w:rsid w:val="00B879AD"/>
    <w:rsid w:val="00BA3A50"/>
    <w:rsid w:val="00BA5D28"/>
    <w:rsid w:val="00C03599"/>
    <w:rsid w:val="00C13769"/>
    <w:rsid w:val="00C33DD7"/>
    <w:rsid w:val="00C566ED"/>
    <w:rsid w:val="00C5740D"/>
    <w:rsid w:val="00C97923"/>
    <w:rsid w:val="00D275CA"/>
    <w:rsid w:val="00D62762"/>
    <w:rsid w:val="00D65CEA"/>
    <w:rsid w:val="00D722D1"/>
    <w:rsid w:val="00D72E34"/>
    <w:rsid w:val="00DC4000"/>
    <w:rsid w:val="00DE455A"/>
    <w:rsid w:val="00DF4060"/>
    <w:rsid w:val="00DF4369"/>
    <w:rsid w:val="00E76B1A"/>
    <w:rsid w:val="00E83D6B"/>
    <w:rsid w:val="00E86148"/>
    <w:rsid w:val="00E95273"/>
    <w:rsid w:val="00ED3FE5"/>
    <w:rsid w:val="00EE1EE1"/>
    <w:rsid w:val="00EF18AB"/>
    <w:rsid w:val="00EF776C"/>
    <w:rsid w:val="00F379D1"/>
    <w:rsid w:val="00F66A35"/>
    <w:rsid w:val="00F909D4"/>
    <w:rsid w:val="00FD3692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991E7D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29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op.mmr.cz/cs/vyzvy-2021-2027/vyzvy/60vyzvairo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pvvenk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aspvvenk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856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Uživatel</cp:lastModifiedBy>
  <cp:revision>26</cp:revision>
  <cp:lastPrinted>2023-08-03T12:24:00Z</cp:lastPrinted>
  <dcterms:created xsi:type="dcterms:W3CDTF">2023-08-03T11:43:00Z</dcterms:created>
  <dcterms:modified xsi:type="dcterms:W3CDTF">2023-08-21T10:37:00Z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