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6AC2763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 w:rsidR="000C7C8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– </w:t>
      </w:r>
      <w:r w:rsidR="000C7C81">
        <w:rPr>
          <w:b/>
          <w:sz w:val="32"/>
          <w:szCs w:val="32"/>
        </w:rPr>
        <w:t>Projektový záměr</w:t>
      </w:r>
    </w:p>
    <w:p w14:paraId="10CD12BE" w14:textId="617C5B6B" w:rsidR="000C7C81" w:rsidRDefault="000C7C81" w:rsidP="00963100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„</w:t>
      </w:r>
      <w:r w:rsidR="006175F3" w:rsidRPr="006175F3">
        <w:rPr>
          <w:rFonts w:ascii="Calibri" w:hAnsi="Calibri" w:cs="Calibri"/>
          <w:b/>
          <w:sz w:val="28"/>
          <w:szCs w:val="28"/>
        </w:rPr>
        <w:t>3. výzva Prostějov venkov-IROP-Podpora jednotek sboru  dobrovolných  hasičů kategorie jednotek  požární ochrany JPO II, III</w:t>
      </w:r>
      <w:r w:rsidR="00A64E20">
        <w:rPr>
          <w:rFonts w:ascii="Calibri" w:hAnsi="Calibri" w:cs="Calibri"/>
          <w:b/>
          <w:sz w:val="28"/>
          <w:szCs w:val="28"/>
        </w:rPr>
        <w:t xml:space="preserve"> a V</w:t>
      </w:r>
      <w:r w:rsidRPr="000C7C81">
        <w:rPr>
          <w:rFonts w:ascii="Calibri" w:hAnsi="Calibri" w:cs="Calibri"/>
          <w:b/>
          <w:sz w:val="28"/>
          <w:szCs w:val="28"/>
        </w:rPr>
        <w:t>“</w:t>
      </w:r>
    </w:p>
    <w:p w14:paraId="3C7C1F28" w14:textId="3A689C35" w:rsidR="000C7C81" w:rsidRPr="000C7C81" w:rsidRDefault="000C7C81" w:rsidP="000C7C81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Vazba na 6</w:t>
      </w:r>
      <w:r w:rsidR="00767F0D">
        <w:rPr>
          <w:rFonts w:ascii="Calibri" w:hAnsi="Calibri" w:cs="Calibri"/>
          <w:b/>
          <w:sz w:val="28"/>
          <w:szCs w:val="28"/>
        </w:rPr>
        <w:t>1</w:t>
      </w:r>
      <w:r w:rsidRPr="000C7C81">
        <w:rPr>
          <w:rFonts w:ascii="Calibri" w:hAnsi="Calibri" w:cs="Calibri"/>
          <w:b/>
          <w:sz w:val="28"/>
          <w:szCs w:val="28"/>
        </w:rPr>
        <w:t xml:space="preserve">. Výzvu - IROP </w:t>
      </w:r>
      <w:r w:rsidR="00CE482C">
        <w:rPr>
          <w:rFonts w:ascii="Calibri" w:hAnsi="Calibri" w:cs="Calibri"/>
          <w:b/>
          <w:sz w:val="28"/>
          <w:szCs w:val="28"/>
        </w:rPr>
        <w:t>–</w:t>
      </w:r>
      <w:r w:rsidRPr="000C7C81">
        <w:rPr>
          <w:rFonts w:ascii="Calibri" w:hAnsi="Calibri" w:cs="Calibri"/>
          <w:b/>
          <w:sz w:val="28"/>
          <w:szCs w:val="28"/>
        </w:rPr>
        <w:t xml:space="preserve"> </w:t>
      </w:r>
      <w:r w:rsidR="00CE482C">
        <w:rPr>
          <w:rFonts w:ascii="Calibri" w:hAnsi="Calibri" w:cs="Calibri"/>
          <w:b/>
          <w:sz w:val="28"/>
          <w:szCs w:val="28"/>
        </w:rPr>
        <w:t>HASIČI</w:t>
      </w:r>
      <w:r w:rsidRPr="000C7C81">
        <w:rPr>
          <w:rFonts w:ascii="Calibri" w:hAnsi="Calibri" w:cs="Calibri"/>
          <w:b/>
          <w:sz w:val="28"/>
          <w:szCs w:val="28"/>
        </w:rPr>
        <w:t xml:space="preserve"> - SC 5.1 (CLLD)</w:t>
      </w:r>
    </w:p>
    <w:p w14:paraId="1CA5F46C" w14:textId="3F0EF93B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7AAF6CC" w14:textId="77777777" w:rsidR="00B31454" w:rsidRPr="00492425" w:rsidRDefault="00B31454" w:rsidP="00B31454">
      <w:pPr>
        <w:rPr>
          <w:rFonts w:cstheme="minorHAnsi"/>
        </w:rPr>
      </w:pPr>
      <w:r w:rsidRPr="00492425">
        <w:rPr>
          <w:rFonts w:cstheme="minorHAnsi"/>
        </w:rPr>
        <w:t xml:space="preserve">Administrativní kontrolu záměrů provádí pracovníci kanceláře Prostějov venkov o.p.s. </w:t>
      </w:r>
    </w:p>
    <w:p w14:paraId="44CAB0FF" w14:textId="6763F400" w:rsidR="00B31454" w:rsidRPr="00492425" w:rsidRDefault="00B31454" w:rsidP="00B31454">
      <w:pPr>
        <w:jc w:val="both"/>
        <w:rPr>
          <w:rFonts w:cstheme="minorHAnsi"/>
        </w:rPr>
      </w:pPr>
      <w:r w:rsidRPr="00492425">
        <w:rPr>
          <w:rFonts w:cstheme="minorHAnsi"/>
        </w:rPr>
        <w:t>Věcné hodnocení záměrů provádí Výběrová komise MAS jakožto výběrový orgán.</w:t>
      </w:r>
      <w:r w:rsidRPr="00492425">
        <w:rPr>
          <w:rFonts w:cstheme="minorHAnsi"/>
        </w:rPr>
        <w:br/>
        <w:t>Programový výbor MAS jakožto Rozhodovací orgán vybírá záměry, kterým bude vydáno Vyjádření o souladu se SCLLD MAS.  Vyjádření o souladu se SCLLD MAS je povinnou přílohou žádosti o podporu v MS21+.</w:t>
      </w:r>
    </w:p>
    <w:p w14:paraId="12CBB3AA" w14:textId="536129AF" w:rsidR="000C7C81" w:rsidRDefault="000C7C81" w:rsidP="000C7C81">
      <w:pPr>
        <w:jc w:val="both"/>
      </w:pPr>
      <w:r>
        <w:t>Postup hodnocení záměrů</w:t>
      </w:r>
      <w:r w:rsidR="003674CE">
        <w:t xml:space="preserve"> místní akční skupinou</w:t>
      </w:r>
      <w:r>
        <w:t xml:space="preserve"> je uveden v dokumentu "Interní postupy Prostějov venkov o.p.s. pro programové období 2021-2027 - IROP".  Je zveřejněn </w:t>
      </w:r>
      <w:proofErr w:type="gramStart"/>
      <w:r>
        <w:t>na</w:t>
      </w:r>
      <w:proofErr w:type="gramEnd"/>
      <w:r>
        <w:t xml:space="preserve">:  </w:t>
      </w:r>
      <w:hyperlink r:id="rId10" w:history="1">
        <w:r w:rsidR="003674CE" w:rsidRPr="007E553A">
          <w:rPr>
            <w:rStyle w:val="Hypertextovodkaz"/>
          </w:rPr>
          <w:t>www.maspvvenkov.cz</w:t>
        </w:r>
      </w:hyperlink>
    </w:p>
    <w:p w14:paraId="708C5495" w14:textId="77777777" w:rsidR="003674CE" w:rsidRDefault="003674CE" w:rsidP="003674CE">
      <w:pPr>
        <w:jc w:val="both"/>
      </w:pPr>
      <w:r>
        <w:t xml:space="preserve">Žadatel má možnost podat žádost o přezkum hodnocení. Postup pro tento případ je uveden v dokumentu "Interní postupy Prostějov venkov o.p.s. pro programové období 2021-2027 - IROP".  Je zveřejněna </w:t>
      </w:r>
      <w:proofErr w:type="gramStart"/>
      <w:r>
        <w:t>na</w:t>
      </w:r>
      <w:proofErr w:type="gramEnd"/>
      <w:r>
        <w:t xml:space="preserve">:  </w:t>
      </w:r>
      <w:hyperlink r:id="rId11" w:history="1">
        <w:r w:rsidRPr="00C9573D">
          <w:rPr>
            <w:rStyle w:val="Hypertextovodkaz"/>
          </w:rPr>
          <w:t>www.maspvvenkov.cz</w:t>
        </w:r>
      </w:hyperlink>
    </w:p>
    <w:p w14:paraId="3AAD0E49" w14:textId="211CB447" w:rsidR="003674CE" w:rsidRDefault="003674CE" w:rsidP="000C7C81">
      <w:pPr>
        <w:jc w:val="both"/>
      </w:pPr>
      <w:r>
        <w:t>Po výběru projektových záměrů ze strany MAS následuje podání žádosti o podporu do výzvy č. 61 IROP, a to prostřednictvím MS21+. Pověřený pracovník  MAS záměr v MS21+ před odesláním zkontroluje a podepíše.</w:t>
      </w:r>
      <w:r w:rsidR="000C7C81">
        <w:t xml:space="preserve"> </w:t>
      </w:r>
    </w:p>
    <w:p w14:paraId="537C81B2" w14:textId="11D99027" w:rsidR="000C7C81" w:rsidRDefault="000C7C81" w:rsidP="000C7C81">
      <w:pPr>
        <w:jc w:val="both"/>
      </w:pPr>
      <w:r>
        <w:t xml:space="preserve">Hodnocení žádosti o podporu je v kompetenci Centra pro regionální rozvoj (CRR). Kontrolní listy k hodnocení CRR jsou zveřejněny na: </w:t>
      </w:r>
      <w:hyperlink r:id="rId12" w:history="1">
        <w:r w:rsidR="003674CE" w:rsidRPr="007E553A">
          <w:rPr>
            <w:rStyle w:val="Hypertextovodkaz"/>
          </w:rPr>
          <w:t>https://www.crr.cz/irop/projekt-a-kontrola/kontrolni-listy/</w:t>
        </w:r>
      </w:hyperlink>
      <w:r w:rsidR="003674CE">
        <w:t xml:space="preserve">. </w:t>
      </w:r>
      <w:r w:rsidR="002476A6">
        <w:t>Schválení</w:t>
      </w:r>
      <w:r w:rsidR="003674CE">
        <w:t xml:space="preserve"> projektů k</w:t>
      </w:r>
      <w:r w:rsidR="002476A6">
        <w:t xml:space="preserve"> podpoření </w:t>
      </w:r>
      <w:r w:rsidR="003674CE">
        <w:t xml:space="preserve">provádí  Řídící orgán  IROP. </w:t>
      </w:r>
    </w:p>
    <w:p w14:paraId="2C5650A1" w14:textId="245E3D35" w:rsidR="00211D24" w:rsidRDefault="00211D24" w:rsidP="00211D24">
      <w:pPr>
        <w:jc w:val="both"/>
        <w:rPr>
          <w:rStyle w:val="Hypertextovodkaz"/>
          <w:rFonts w:cstheme="minorHAnsi"/>
        </w:rPr>
      </w:pPr>
      <w:r>
        <w:t xml:space="preserve">Věcná způsobilost je definována v Obecných a Specifických pravidlech pro žadatele a příjemce výzvy č. </w:t>
      </w:r>
      <w:r w:rsidR="008750CA">
        <w:t>61</w:t>
      </w:r>
      <w:r>
        <w:t xml:space="preserve"> IROP (vždy v aktuálním znění).</w:t>
      </w:r>
      <w:r w:rsidR="002476A6">
        <w:t xml:space="preserve"> </w:t>
      </w:r>
      <w:r w:rsidRPr="00622671">
        <w:t>Obecná a Specifická pravidla pro žadatele pro výzvu ŘO IROP</w:t>
      </w:r>
      <w:r>
        <w:t xml:space="preserve"> jsou uvedena zde: </w:t>
      </w:r>
      <w:hyperlink r:id="rId13" w:history="1">
        <w:r w:rsidR="008750CA" w:rsidRPr="00280F49">
          <w:rPr>
            <w:rStyle w:val="Hypertextovodkaz"/>
            <w:rFonts w:cstheme="minorHAnsi"/>
          </w:rPr>
          <w:t>https://irop.mmr.cz/cs/vyzvy-2021-2027/vyzvy/61vyzvairop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07A908C" w14:textId="5000B96C" w:rsidR="00DF4369" w:rsidRDefault="00DF4369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F4369">
        <w:t>Pro jednoho žadatele o podporu (předkladatele záměru) je omezen počet podaných záměrů na jeden (tj. za jedno IČ jeden projektový záměr). Pokud podá</w:t>
      </w:r>
      <w:r w:rsidR="00895EBC">
        <w:t xml:space="preserve"> jeden žadatel (jedno IČ) do tét</w:t>
      </w:r>
      <w:r w:rsidRPr="00DF4369">
        <w:t>o výzvy více záměrů, bude do administrativní kontroly a hodnocení zařazen záměr, který byl podán nejdříve. Ostatní záměry stejného žadatele (stejné IČ) budou vyřazeny.</w:t>
      </w:r>
    </w:p>
    <w:p w14:paraId="7FCE3592" w14:textId="1AD174CD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7790830B" w14:textId="33640503" w:rsidR="00211D24" w:rsidRDefault="003268E7">
      <w:r w:rsidRPr="003268E7">
        <w:t>Schválena programovým výborem dne 15.8.2023</w:t>
      </w:r>
      <w:bookmarkStart w:id="1" w:name="_GoBack"/>
      <w:bookmarkEnd w:id="1"/>
      <w:r w:rsidR="00211D24"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2693"/>
        <w:gridCol w:w="4521"/>
      </w:tblGrid>
      <w:tr w:rsidR="00C566ED" w:rsidRPr="001C1F58" w14:paraId="799795F9" w14:textId="77777777" w:rsidTr="008750CA">
        <w:trPr>
          <w:trHeight w:val="270"/>
          <w:jc w:val="center"/>
        </w:trPr>
        <w:tc>
          <w:tcPr>
            <w:tcW w:w="1828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8750CA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</w:tcPr>
          <w:p w14:paraId="00967B26" w14:textId="5D8D4BDD" w:rsidR="006E6251" w:rsidRPr="00331076" w:rsidRDefault="00FD3692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Prostějov venkov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8750CA">
        <w:trPr>
          <w:trHeight w:val="334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1CC9AE0B" w14:textId="3B1A206A" w:rsidR="006E6251" w:rsidRPr="00331076" w:rsidRDefault="008750CA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50CA">
              <w:rPr>
                <w:rFonts w:cs="Arial"/>
                <w:b/>
                <w:sz w:val="20"/>
                <w:szCs w:val="20"/>
              </w:rPr>
              <w:t>A 4.5 Podpora infrastruktury a vybavení JPO III a JPO V</w:t>
            </w:r>
          </w:p>
        </w:tc>
      </w:tr>
      <w:tr w:rsidR="006E6251" w:rsidRPr="001C1F58" w14:paraId="7396E241" w14:textId="77777777" w:rsidTr="008750CA">
        <w:trPr>
          <w:trHeight w:val="270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01652A76" w14:textId="06A3F3C3" w:rsidR="008750CA" w:rsidRPr="008750CA" w:rsidRDefault="008750CA" w:rsidP="008750C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0CA">
              <w:rPr>
                <w:rFonts w:cs="Arial"/>
                <w:b/>
                <w:sz w:val="20"/>
                <w:szCs w:val="20"/>
              </w:rPr>
              <w:t xml:space="preserve">61. výzva k předkládání žádostí o podporu </w:t>
            </w:r>
          </w:p>
          <w:p w14:paraId="7829B879" w14:textId="15AB7EC4" w:rsidR="006E6251" w:rsidRPr="008750CA" w:rsidRDefault="008750CA" w:rsidP="008750CA">
            <w:pPr>
              <w:spacing w:after="0" w:line="240" w:lineRule="auto"/>
              <w:rPr>
                <w:rFonts w:cstheme="minorHAnsi"/>
                <w:b/>
                <w:iCs/>
                <w:caps/>
                <w:sz w:val="24"/>
                <w:szCs w:val="24"/>
              </w:rPr>
            </w:pPr>
            <w:r w:rsidRPr="008750CA">
              <w:rPr>
                <w:rFonts w:cs="Arial"/>
                <w:b/>
                <w:sz w:val="20"/>
                <w:szCs w:val="20"/>
              </w:rPr>
              <w:t>z Integrovaného regionálního operačního programu 2021–2027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0CA">
              <w:rPr>
                <w:rFonts w:cs="Arial"/>
                <w:b/>
                <w:sz w:val="20"/>
                <w:szCs w:val="20"/>
              </w:rPr>
              <w:t>hasiči – SC 5.1 (CLLD)</w:t>
            </w:r>
            <w:r w:rsidRPr="00492425">
              <w:rPr>
                <w:rFonts w:cstheme="minorHAnsi"/>
                <w:b/>
                <w:iCs/>
                <w:caps/>
                <w:sz w:val="24"/>
                <w:szCs w:val="24"/>
              </w:rPr>
              <w:t xml:space="preserve"> </w:t>
            </w:r>
          </w:p>
        </w:tc>
      </w:tr>
      <w:tr w:rsidR="006E6251" w:rsidRPr="001C1F58" w14:paraId="1AB9F43A" w14:textId="77777777" w:rsidTr="008750CA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0B4615AB" w14:textId="42B7D415" w:rsidR="006E6251" w:rsidRPr="008750CA" w:rsidRDefault="008750CA" w:rsidP="008750C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0CA">
              <w:rPr>
                <w:rFonts w:cs="Arial"/>
                <w:b/>
                <w:sz w:val="20"/>
                <w:szCs w:val="20"/>
              </w:rPr>
              <w:t>3. výzva Prostějov venkov-IROP-Podpora jednotek sboru  dobrovolných  hasičů kategorie jednotek  požární ochrany JPO II., III. a V.“</w:t>
            </w:r>
          </w:p>
        </w:tc>
      </w:tr>
      <w:tr w:rsidR="00991E7D" w:rsidRPr="001C1F58" w14:paraId="5A0A59D6" w14:textId="77777777" w:rsidTr="008750CA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521" w:type="dxa"/>
            <w:shd w:val="clear" w:color="auto" w:fill="FFFFFF" w:themeFill="background1"/>
            <w:noWrap/>
            <w:hideMark/>
          </w:tcPr>
          <w:p w14:paraId="5883F993" w14:textId="62249294" w:rsidR="00991E7D" w:rsidRPr="00006DA8" w:rsidRDefault="00991E7D" w:rsidP="00BD3160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vyplňte úplný název žadatele </w:t>
            </w:r>
          </w:p>
        </w:tc>
      </w:tr>
      <w:tr w:rsidR="00991E7D" w:rsidRPr="001C1F58" w14:paraId="40600B07" w14:textId="77777777" w:rsidTr="008750CA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513E44E" w14:textId="336FE7CC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sídlo žadatel</w:t>
            </w:r>
            <w:r w:rsidR="007A09CC">
              <w:rPr>
                <w:rFonts w:cs="Arial"/>
                <w:sz w:val="20"/>
                <w:szCs w:val="20"/>
              </w:rPr>
              <w:t xml:space="preserve">e </w:t>
            </w:r>
            <w:r w:rsidR="007A09CC">
              <w:rPr>
                <w:rFonts w:cs="Arial"/>
                <w:sz w:val="20"/>
                <w:szCs w:val="20"/>
              </w:rPr>
              <w:br/>
              <w:t>(ulice č. p./č. o., obec, PSČ</w:t>
            </w:r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FD3692" w:rsidRPr="001C1F58" w14:paraId="162C8F32" w14:textId="77777777" w:rsidTr="008750CA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26996527" w14:textId="77777777" w:rsidR="00FD3692" w:rsidRPr="001C1F58" w:rsidRDefault="00FD3692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CA40EA" w14:textId="5247848D" w:rsidR="00FD3692" w:rsidRPr="00331076" w:rsidRDefault="00FD3692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datová schránka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</w:tcPr>
          <w:p w14:paraId="1B29303F" w14:textId="1576868E" w:rsidR="00FD3692" w:rsidRPr="00006DA8" w:rsidRDefault="00FD3692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8750CA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8750CA">
        <w:trPr>
          <w:trHeight w:val="25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8750CA">
        <w:trPr>
          <w:trHeight w:val="570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8750CA">
        <w:trPr>
          <w:trHeight w:val="525"/>
          <w:jc w:val="center"/>
        </w:trPr>
        <w:tc>
          <w:tcPr>
            <w:tcW w:w="1828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65A5EB57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p w14:paraId="29424BF6" w14:textId="179FE5B9" w:rsidR="00AC110C" w:rsidRDefault="00AC110C" w:rsidP="009575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094CE2">
        <w:t>Podrobný popis projektu je doložen</w:t>
      </w:r>
      <w:r w:rsidR="00DF4060" w:rsidRPr="00094CE2">
        <w:t xml:space="preserve"> </w:t>
      </w:r>
      <w:r w:rsidR="00094CE2">
        <w:t>a zpracován v příloze</w:t>
      </w:r>
      <w:r w:rsidR="00DF4060" w:rsidRPr="00094CE2">
        <w:t xml:space="preserve"> č.</w:t>
      </w:r>
      <w:r w:rsidR="001D393B">
        <w:t xml:space="preserve"> </w:t>
      </w:r>
      <w:r w:rsidR="00DF4060" w:rsidRPr="00094CE2">
        <w:t>2</w:t>
      </w:r>
      <w:r w:rsidRPr="00094CE2">
        <w:t xml:space="preserve"> Specifických  p</w:t>
      </w:r>
      <w:r w:rsidR="00D545F5">
        <w:t>ravidel pro žadatele a příjemce, který  dokládáme jako  povinnou přílohu projektového záměru.</w:t>
      </w:r>
    </w:p>
    <w:p w14:paraId="00AA5C7E" w14:textId="3A8498C3" w:rsidR="00D545F5" w:rsidRPr="00D545F5" w:rsidRDefault="00D545F5" w:rsidP="009575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color w:val="FF0000"/>
        </w:rPr>
      </w:pPr>
      <w:r>
        <w:t xml:space="preserve">Pořízeno bude: </w:t>
      </w:r>
      <w:r w:rsidRPr="009575AD">
        <w:rPr>
          <w:rFonts w:cs="Arial"/>
          <w:color w:val="FF0000"/>
          <w:sz w:val="20"/>
          <w:szCs w:val="20"/>
        </w:rPr>
        <w:t>Žadatel uvede jen výčet techniky/věcných prostředků dle přílohy č. 9 Specifických  pravidel pro žadatele a příjemce.</w:t>
      </w: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55139568" w:rsidR="00991E7D" w:rsidRPr="00060075" w:rsidRDefault="00060075" w:rsidP="00991E7D">
      <w:pPr>
        <w:rPr>
          <w:i/>
          <w:color w:val="FF0000"/>
        </w:rPr>
      </w:pPr>
      <w:r w:rsidRPr="00060075">
        <w:rPr>
          <w:i/>
          <w:color w:val="FF0000"/>
          <w:sz w:val="20"/>
          <w:szCs w:val="20"/>
        </w:rPr>
        <w:t>Žadatelem uvedené  částky</w:t>
      </w:r>
      <w:r w:rsidR="00BC5E9A">
        <w:rPr>
          <w:i/>
          <w:color w:val="FF0000"/>
          <w:sz w:val="20"/>
          <w:szCs w:val="20"/>
        </w:rPr>
        <w:t xml:space="preserve"> CZV</w:t>
      </w:r>
      <w:r w:rsidRPr="00060075">
        <w:rPr>
          <w:i/>
          <w:color w:val="FF0000"/>
          <w:sz w:val="20"/>
          <w:szCs w:val="20"/>
        </w:rPr>
        <w:t xml:space="preserve"> jsou brány jako maximální možné a nelze je překročit.  Překročení  při podání  žádosti  do  systému MS21+ budeme považovat  za porušení  soul</w:t>
      </w:r>
      <w:r>
        <w:rPr>
          <w:i/>
          <w:color w:val="FF0000"/>
          <w:sz w:val="20"/>
          <w:szCs w:val="20"/>
        </w:rPr>
        <w:t>adu</w:t>
      </w:r>
      <w:r w:rsidRPr="00060075">
        <w:rPr>
          <w:i/>
          <w:color w:val="FF0000"/>
          <w:sz w:val="20"/>
          <w:szCs w:val="20"/>
        </w:rPr>
        <w:t xml:space="preserve"> s</w:t>
      </w:r>
      <w:r w:rsidR="00BC5E9A">
        <w:rPr>
          <w:i/>
          <w:color w:val="FF0000"/>
          <w:sz w:val="20"/>
          <w:szCs w:val="20"/>
        </w:rPr>
        <w:t>e</w:t>
      </w:r>
      <w:r w:rsidRPr="00060075">
        <w:rPr>
          <w:i/>
          <w:color w:val="FF0000"/>
          <w:sz w:val="20"/>
          <w:szCs w:val="20"/>
        </w:rPr>
        <w:t> SCLLD.</w:t>
      </w:r>
    </w:p>
    <w:p w14:paraId="4D027777" w14:textId="2CC2335A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0E27" w:rsidRPr="00586900" w14:paraId="7198074A" w14:textId="77777777" w:rsidTr="00AD1CE6">
        <w:tc>
          <w:tcPr>
            <w:tcW w:w="9042" w:type="dxa"/>
          </w:tcPr>
          <w:p w14:paraId="27F918A4" w14:textId="235B3667" w:rsidR="00094CE2" w:rsidRDefault="00094CE2" w:rsidP="00430E2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Současný stav požadované techniky</w:t>
            </w:r>
            <w:r w:rsidR="006156B7">
              <w:rPr>
                <w:rFonts w:cs="Calibri"/>
                <w:color w:val="000000"/>
              </w:rPr>
              <w:t>/věcného prostředku</w:t>
            </w:r>
            <w:r>
              <w:rPr>
                <w:rFonts w:cs="Calibri"/>
                <w:color w:val="000000"/>
              </w:rPr>
              <w:t xml:space="preserve"> JPO</w:t>
            </w:r>
            <w:r w:rsidRPr="00851065">
              <w:rPr>
                <w:rFonts w:cs="Calibri"/>
                <w:color w:val="000000"/>
              </w:rPr>
              <w:t xml:space="preserve"> </w:t>
            </w:r>
          </w:p>
          <w:p w14:paraId="0F70B337" w14:textId="0C8FB688" w:rsidR="00430E27" w:rsidRPr="00DF1583" w:rsidRDefault="00094CE2" w:rsidP="00A1529C">
            <w:pPr>
              <w:autoSpaceDE w:val="0"/>
              <w:autoSpaceDN w:val="0"/>
              <w:adjustRightInd w:val="0"/>
              <w:rPr>
                <w:b/>
              </w:rPr>
            </w:pPr>
            <w:r w:rsidRPr="00094CE2">
              <w:rPr>
                <w:i/>
                <w:color w:val="FF0000"/>
                <w:sz w:val="20"/>
                <w:szCs w:val="20"/>
              </w:rPr>
              <w:t>Prokazuje se kopií technického průkazu k autu  nebo  vozíku</w:t>
            </w:r>
            <w:r w:rsidR="006156B7">
              <w:rPr>
                <w:i/>
                <w:color w:val="FF0000"/>
                <w:sz w:val="20"/>
                <w:szCs w:val="20"/>
              </w:rPr>
              <w:t xml:space="preserve"> a čestným prohlášením </w:t>
            </w:r>
            <w:r w:rsidR="006156B7" w:rsidRPr="006156B7">
              <w:rPr>
                <w:i/>
                <w:color w:val="FF0000"/>
                <w:sz w:val="20"/>
                <w:szCs w:val="20"/>
              </w:rPr>
              <w:t>žadatele o  přehledu  majetku, který JPO používá</w:t>
            </w:r>
            <w:r w:rsidRPr="00094CE2">
              <w:rPr>
                <w:i/>
                <w:color w:val="FF0000"/>
                <w:sz w:val="20"/>
                <w:szCs w:val="20"/>
              </w:rPr>
              <w:t>. U ostatních kategorií techniky  uvedených  v Normativu  JPO pro danou výzvu doloží kopii karty majetku s datem pořízení. Rozhodné je posouzení stáří techniky, kdy od data ukončení příjmu projektových záměrů do výzvy odečteme datum vydání technického  průkazu nebo  pořízení techniky z karty majetku. Přiřazen bude vždy max. možný bodový zisk.</w:t>
            </w:r>
            <w:r>
              <w:rPr>
                <w:i/>
                <w:color w:val="FF0000"/>
                <w:sz w:val="20"/>
                <w:szCs w:val="20"/>
              </w:rPr>
              <w:t xml:space="preserve"> Podrobnosti naleznete v Kritéria  věcného hodnocení MAS Prostějov venkov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o.p.s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výzva</w:t>
            </w:r>
            <w:proofErr w:type="gramEnd"/>
            <w:r>
              <w:rPr>
                <w:i/>
                <w:color w:val="FF0000"/>
                <w:sz w:val="20"/>
                <w:szCs w:val="20"/>
              </w:rPr>
              <w:t xml:space="preserve"> 3. IROP Hasiči</w:t>
            </w:r>
          </w:p>
        </w:tc>
      </w:tr>
    </w:tbl>
    <w:p w14:paraId="1ACA049A" w14:textId="20A475B7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"/>
        <w:gridCol w:w="3984"/>
        <w:gridCol w:w="1408"/>
        <w:gridCol w:w="1382"/>
        <w:gridCol w:w="1260"/>
      </w:tblGrid>
      <w:tr w:rsidR="0032290B" w:rsidRPr="00D62762" w14:paraId="175B90DE" w14:textId="77777777" w:rsidTr="00EF776C">
        <w:trPr>
          <w:trHeight w:val="885"/>
          <w:jc w:val="center"/>
        </w:trPr>
        <w:tc>
          <w:tcPr>
            <w:tcW w:w="978" w:type="dxa"/>
            <w:shd w:val="clear" w:color="auto" w:fill="auto"/>
            <w:vAlign w:val="center"/>
            <w:hideMark/>
          </w:tcPr>
          <w:p w14:paraId="664D3863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984" w:type="dxa"/>
            <w:shd w:val="clear" w:color="auto" w:fill="auto"/>
            <w:vAlign w:val="center"/>
            <w:hideMark/>
          </w:tcPr>
          <w:p w14:paraId="3B791AB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0019AEB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8A1001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8C45B8" w14:textId="77777777" w:rsidR="0032290B" w:rsidRPr="00C4566E" w:rsidRDefault="0032290B" w:rsidP="001F03C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EF776C" w:rsidRPr="001C1F58" w14:paraId="1E8BA5E1" w14:textId="77777777" w:rsidTr="00EF776C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</w:tcPr>
          <w:p w14:paraId="2ED15324" w14:textId="01332DFE" w:rsidR="00EF776C" w:rsidRPr="001C1F58" w:rsidRDefault="00EF776C" w:rsidP="00EF776C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570 012</w:t>
            </w:r>
            <w:r w:rsidRPr="005E3267">
              <w:t xml:space="preserve"> 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F6F524A" w14:textId="29AFB40B" w:rsidR="00EF776C" w:rsidRPr="00586900" w:rsidRDefault="00EF776C" w:rsidP="00EF776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</w:t>
            </w:r>
            <w:r w:rsidRPr="00E37D99">
              <w:t xml:space="preserve"> nových věcných prostředků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CB49BED" w14:textId="2B67737D" w:rsidR="00EF776C" w:rsidRPr="00586900" w:rsidRDefault="00EF776C" w:rsidP="00EF776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počet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CEB209" w14:textId="77777777" w:rsidR="00EF776C" w:rsidRPr="00006DA8" w:rsidRDefault="00EF776C" w:rsidP="00EF776C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F90BC10" w14:textId="77777777" w:rsidR="00EF776C" w:rsidRPr="00006DA8" w:rsidRDefault="00EF776C" w:rsidP="00EF776C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EF776C" w:rsidRPr="001C1F58" w14:paraId="39735485" w14:textId="77777777" w:rsidTr="00EF776C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</w:tcPr>
          <w:p w14:paraId="6E676A26" w14:textId="30A94666" w:rsidR="00EF776C" w:rsidRPr="001C1F58" w:rsidRDefault="00EF776C" w:rsidP="00EF776C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 xml:space="preserve">575 401 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060239A" w14:textId="4D01A3D1" w:rsidR="00EF776C" w:rsidRPr="00586900" w:rsidRDefault="00EF776C" w:rsidP="00EF776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</w:t>
            </w:r>
            <w:r w:rsidRPr="00E37D99">
              <w:t xml:space="preserve">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3427EB8" w14:textId="63E783F0" w:rsidR="00EF776C" w:rsidRPr="00586900" w:rsidRDefault="00EF776C" w:rsidP="00EF776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 xml:space="preserve">počet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044664" w14:textId="77777777" w:rsidR="00EF776C" w:rsidRPr="00006DA8" w:rsidRDefault="00EF776C" w:rsidP="00EF776C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40D333B" w14:textId="77777777" w:rsidR="00EF776C" w:rsidRPr="00006DA8" w:rsidRDefault="00EF776C" w:rsidP="00EF776C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EF776C" w:rsidRPr="001C1F58" w14:paraId="17E78DDB" w14:textId="77777777" w:rsidTr="00EF776C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</w:tcPr>
          <w:p w14:paraId="2F7E378B" w14:textId="561586C8" w:rsidR="00EF776C" w:rsidRDefault="00EF776C" w:rsidP="00EF776C">
            <w:pPr>
              <w:spacing w:after="0" w:line="240" w:lineRule="auto"/>
            </w:pPr>
            <w:r>
              <w:t>437 501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8259675" w14:textId="5375A49C" w:rsidR="00EF776C" w:rsidRDefault="00EF776C" w:rsidP="00EF776C">
            <w:pPr>
              <w:spacing w:after="0" w:line="240" w:lineRule="auto"/>
            </w:pPr>
            <w:r>
              <w:t>Počet</w:t>
            </w:r>
            <w:r w:rsidRPr="00ED4878">
              <w:t xml:space="preserve"> obyvatel, kteří mají prospěch z opatření na posílení ochrany obyvatelstva před hrozbami spojenými se změnou klimatu a novými hrozbami</w:t>
            </w:r>
            <w:r>
              <w:t>*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09C601" w14:textId="471CE44B" w:rsidR="00EF776C" w:rsidRPr="00FC33C8" w:rsidRDefault="00EF776C" w:rsidP="00EF776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 xml:space="preserve">počet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2FDFF1A" w14:textId="3A6EF44D" w:rsidR="00EF776C" w:rsidRPr="00006DA8" w:rsidRDefault="00EF776C" w:rsidP="00EF776C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5304583" w14:textId="4D9F0CC2" w:rsidR="00EF776C" w:rsidRPr="00006DA8" w:rsidRDefault="00EF776C" w:rsidP="00EF776C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6044B7CF" w14:textId="74A5C307" w:rsidR="0032290B" w:rsidRPr="00EF776C" w:rsidRDefault="00EF776C" w:rsidP="00647584">
      <w:r w:rsidRPr="00EF776C">
        <w:t xml:space="preserve">* </w:t>
      </w:r>
      <w:r>
        <w:t xml:space="preserve">Indikátor bude stanoven dle Specifických  pravidel pro žadatele a příjemce a přílohy 5 </w:t>
      </w:r>
      <w:r w:rsidRPr="00EF776C">
        <w:t>Krycí list výpočtu indikátoru 437 501</w:t>
      </w: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2"/>
        <w:gridCol w:w="4226"/>
        <w:gridCol w:w="2394"/>
      </w:tblGrid>
      <w:tr w:rsidR="00D545F5" w:rsidRPr="007B5D3D" w14:paraId="534F4D73" w14:textId="567BB970" w:rsidTr="00D545F5">
        <w:tc>
          <w:tcPr>
            <w:tcW w:w="2422" w:type="dxa"/>
          </w:tcPr>
          <w:p w14:paraId="49C062C5" w14:textId="77777777" w:rsidR="00D545F5" w:rsidRPr="007B5D3D" w:rsidRDefault="00D545F5" w:rsidP="00755FF3">
            <w:r w:rsidRPr="007B5D3D">
              <w:t>Příloha č. 1</w:t>
            </w:r>
          </w:p>
        </w:tc>
        <w:tc>
          <w:tcPr>
            <w:tcW w:w="4226" w:type="dxa"/>
          </w:tcPr>
          <w:p w14:paraId="749A0218" w14:textId="41F2AD97" w:rsidR="00D545F5" w:rsidRPr="00006DA8" w:rsidRDefault="00D545F5" w:rsidP="00DF4060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</w:t>
            </w:r>
            <w:r w:rsidRPr="00006DA8">
              <w:rPr>
                <w:i/>
                <w:color w:val="FF0000"/>
                <w:sz w:val="20"/>
                <w:szCs w:val="20"/>
              </w:rPr>
              <w:t>ln</w:t>
            </w:r>
            <w:r>
              <w:rPr>
                <w:i/>
                <w:color w:val="FF0000"/>
                <w:sz w:val="20"/>
                <w:szCs w:val="20"/>
              </w:rPr>
              <w:t>á</w:t>
            </w:r>
            <w:r w:rsidRPr="00006DA8">
              <w:rPr>
                <w:i/>
                <w:color w:val="FF0000"/>
                <w:sz w:val="20"/>
                <w:szCs w:val="20"/>
              </w:rPr>
              <w:t xml:space="preserve"> moc, je-li relevantní.</w:t>
            </w:r>
          </w:p>
        </w:tc>
        <w:tc>
          <w:tcPr>
            <w:tcW w:w="2394" w:type="dxa"/>
          </w:tcPr>
          <w:p w14:paraId="6385D667" w14:textId="3E707292" w:rsidR="00D545F5" w:rsidRDefault="00D545F5" w:rsidP="00DF4060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povinná, je-li relevantní</w:t>
            </w:r>
          </w:p>
        </w:tc>
      </w:tr>
      <w:tr w:rsidR="00D545F5" w:rsidRPr="007B5D3D" w14:paraId="43D02F30" w14:textId="207F09A8" w:rsidTr="00D545F5">
        <w:tc>
          <w:tcPr>
            <w:tcW w:w="2422" w:type="dxa"/>
          </w:tcPr>
          <w:p w14:paraId="245B2300" w14:textId="77777777" w:rsidR="00D545F5" w:rsidRPr="007B5D3D" w:rsidRDefault="00D545F5" w:rsidP="00755FF3">
            <w:r w:rsidRPr="007B5D3D">
              <w:t>Příloha č. 2</w:t>
            </w:r>
          </w:p>
        </w:tc>
        <w:tc>
          <w:tcPr>
            <w:tcW w:w="4226" w:type="dxa"/>
          </w:tcPr>
          <w:p w14:paraId="575A71E4" w14:textId="2D49D7B7" w:rsidR="00D545F5" w:rsidRPr="00006DA8" w:rsidRDefault="00D545F5" w:rsidP="00DF4060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Podklady pro hodnocení </w:t>
            </w:r>
            <w:r w:rsidRPr="00DF4060">
              <w:rPr>
                <w:i/>
                <w:color w:val="FF0000"/>
                <w:sz w:val="20"/>
                <w:szCs w:val="20"/>
              </w:rPr>
              <w:t xml:space="preserve">příloha </w:t>
            </w:r>
            <w:proofErr w:type="gramStart"/>
            <w:r w:rsidRPr="00DF4060">
              <w:rPr>
                <w:i/>
                <w:color w:val="FF0000"/>
                <w:sz w:val="20"/>
                <w:szCs w:val="20"/>
              </w:rPr>
              <w:t>č.2 Specifických</w:t>
            </w:r>
            <w:proofErr w:type="gramEnd"/>
            <w:r w:rsidRPr="00DF4060">
              <w:rPr>
                <w:i/>
                <w:color w:val="FF0000"/>
                <w:sz w:val="20"/>
                <w:szCs w:val="20"/>
              </w:rPr>
              <w:t xml:space="preserve">  pravidel pro žadatele a příjemce</w:t>
            </w:r>
          </w:p>
        </w:tc>
        <w:tc>
          <w:tcPr>
            <w:tcW w:w="2394" w:type="dxa"/>
          </w:tcPr>
          <w:p w14:paraId="44A23C83" w14:textId="0397D16C" w:rsidR="00D545F5" w:rsidRDefault="00D545F5" w:rsidP="00DF4060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povinná</w:t>
            </w:r>
          </w:p>
        </w:tc>
      </w:tr>
      <w:tr w:rsidR="00D545F5" w:rsidRPr="007B5D3D" w14:paraId="6177AAC6" w14:textId="1EF83633" w:rsidTr="00D545F5">
        <w:tc>
          <w:tcPr>
            <w:tcW w:w="2422" w:type="dxa"/>
          </w:tcPr>
          <w:p w14:paraId="1D20ACBD" w14:textId="34C8D43F" w:rsidR="00D545F5" w:rsidRPr="007B5D3D" w:rsidRDefault="00D545F5" w:rsidP="008B02B6">
            <w:r w:rsidRPr="007B5D3D">
              <w:t>Příloha č. 3</w:t>
            </w:r>
          </w:p>
        </w:tc>
        <w:tc>
          <w:tcPr>
            <w:tcW w:w="4226" w:type="dxa"/>
          </w:tcPr>
          <w:p w14:paraId="098F81EA" w14:textId="73A07D53" w:rsidR="00D545F5" w:rsidRDefault="00D545F5" w:rsidP="008B02B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Příslušné Stanovisko HZS </w:t>
            </w:r>
            <w:r w:rsidRPr="00DF4060">
              <w:rPr>
                <w:i/>
                <w:color w:val="FF0000"/>
                <w:sz w:val="20"/>
                <w:szCs w:val="20"/>
              </w:rPr>
              <w:t>příloha č.</w:t>
            </w:r>
            <w:r>
              <w:rPr>
                <w:i/>
                <w:color w:val="FF0000"/>
                <w:sz w:val="20"/>
                <w:szCs w:val="20"/>
              </w:rPr>
              <w:t>6b nebo příloha 10</w:t>
            </w:r>
            <w:r w:rsidRPr="00DF4060">
              <w:rPr>
                <w:i/>
                <w:color w:val="FF0000"/>
                <w:sz w:val="20"/>
                <w:szCs w:val="20"/>
              </w:rPr>
              <w:t xml:space="preserve"> Specifických  pravidel pro žadatele a příjemce</w:t>
            </w:r>
          </w:p>
        </w:tc>
        <w:tc>
          <w:tcPr>
            <w:tcW w:w="2394" w:type="dxa"/>
          </w:tcPr>
          <w:p w14:paraId="3343F661" w14:textId="0F0EA495" w:rsidR="00D545F5" w:rsidRDefault="00D545F5" w:rsidP="008B02B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povinná</w:t>
            </w:r>
          </w:p>
        </w:tc>
      </w:tr>
      <w:tr w:rsidR="00D545F5" w:rsidRPr="007B5D3D" w14:paraId="7839644C" w14:textId="514FB563" w:rsidTr="00D545F5">
        <w:tc>
          <w:tcPr>
            <w:tcW w:w="2422" w:type="dxa"/>
          </w:tcPr>
          <w:p w14:paraId="506FECEA" w14:textId="21D55FAC" w:rsidR="00D545F5" w:rsidRPr="007B5D3D" w:rsidRDefault="00D545F5" w:rsidP="008B02B6">
            <w:r>
              <w:t>Příloha č. 4</w:t>
            </w:r>
          </w:p>
        </w:tc>
        <w:tc>
          <w:tcPr>
            <w:tcW w:w="4226" w:type="dxa"/>
          </w:tcPr>
          <w:p w14:paraId="70E0B980" w14:textId="6206B34A" w:rsidR="00D545F5" w:rsidRDefault="00D545F5" w:rsidP="008B02B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Čestné prohlášení žadatele o </w:t>
            </w:r>
            <w:r w:rsidRPr="008B02B6">
              <w:rPr>
                <w:i/>
                <w:color w:val="FF0000"/>
                <w:sz w:val="20"/>
                <w:szCs w:val="20"/>
              </w:rPr>
              <w:t>přehledu  majetku, který JPO používá</w:t>
            </w:r>
          </w:p>
        </w:tc>
        <w:tc>
          <w:tcPr>
            <w:tcW w:w="2394" w:type="dxa"/>
          </w:tcPr>
          <w:p w14:paraId="79EE821C" w14:textId="2B932F80" w:rsidR="00D545F5" w:rsidRDefault="00D545F5" w:rsidP="008B02B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povinná</w:t>
            </w:r>
          </w:p>
        </w:tc>
      </w:tr>
      <w:tr w:rsidR="00D545F5" w:rsidRPr="007B5D3D" w14:paraId="5C6CA639" w14:textId="4E0262A2" w:rsidTr="00D545F5">
        <w:tc>
          <w:tcPr>
            <w:tcW w:w="2422" w:type="dxa"/>
          </w:tcPr>
          <w:p w14:paraId="44D92B2F" w14:textId="11C40009" w:rsidR="00D545F5" w:rsidRPr="007B5D3D" w:rsidRDefault="00D545F5" w:rsidP="00D545F5">
            <w:r>
              <w:t>Příloha č. 5</w:t>
            </w:r>
          </w:p>
        </w:tc>
        <w:tc>
          <w:tcPr>
            <w:tcW w:w="4226" w:type="dxa"/>
          </w:tcPr>
          <w:p w14:paraId="5A5A7CA5" w14:textId="5413D3B3" w:rsidR="00D545F5" w:rsidRPr="00006DA8" w:rsidRDefault="00D545F5" w:rsidP="00D545F5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Technický průkaz vozidla</w:t>
            </w:r>
            <w:r w:rsidR="0021508A" w:rsidRPr="00006DA8">
              <w:rPr>
                <w:i/>
                <w:color w:val="FF0000"/>
                <w:sz w:val="20"/>
                <w:szCs w:val="20"/>
              </w:rPr>
              <w:t>, je-li relevantní</w:t>
            </w:r>
          </w:p>
        </w:tc>
        <w:tc>
          <w:tcPr>
            <w:tcW w:w="2394" w:type="dxa"/>
          </w:tcPr>
          <w:p w14:paraId="4C8EC16F" w14:textId="3327378E" w:rsidR="00D545F5" w:rsidRDefault="00D545F5" w:rsidP="00D545F5">
            <w:pPr>
              <w:rPr>
                <w:i/>
                <w:color w:val="FF0000"/>
                <w:sz w:val="20"/>
                <w:szCs w:val="20"/>
              </w:rPr>
            </w:pPr>
            <w:r w:rsidRPr="00D07B76">
              <w:rPr>
                <w:i/>
                <w:color w:val="FF0000"/>
                <w:sz w:val="20"/>
                <w:szCs w:val="20"/>
              </w:rPr>
              <w:t>povinná, je-li relevantní</w:t>
            </w:r>
          </w:p>
        </w:tc>
      </w:tr>
      <w:tr w:rsidR="00D545F5" w:rsidRPr="007B5D3D" w14:paraId="55F8C181" w14:textId="1B9F9E56" w:rsidTr="00D545F5">
        <w:tc>
          <w:tcPr>
            <w:tcW w:w="2422" w:type="dxa"/>
          </w:tcPr>
          <w:p w14:paraId="68B2B8CB" w14:textId="66806F45" w:rsidR="00D545F5" w:rsidRDefault="00D545F5" w:rsidP="00D545F5">
            <w:r>
              <w:t>Příloha č. 6</w:t>
            </w:r>
          </w:p>
        </w:tc>
        <w:tc>
          <w:tcPr>
            <w:tcW w:w="4226" w:type="dxa"/>
          </w:tcPr>
          <w:p w14:paraId="2B6828FA" w14:textId="485F2481" w:rsidR="00D545F5" w:rsidRPr="00006DA8" w:rsidRDefault="0021508A" w:rsidP="0021508A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Karta</w:t>
            </w:r>
            <w:r w:rsidR="00D545F5">
              <w:rPr>
                <w:i/>
                <w:color w:val="FF0000"/>
                <w:sz w:val="20"/>
                <w:szCs w:val="20"/>
              </w:rPr>
              <w:t xml:space="preserve"> majetku</w:t>
            </w:r>
            <w:r w:rsidRPr="00006DA8">
              <w:rPr>
                <w:i/>
                <w:color w:val="FF0000"/>
                <w:sz w:val="20"/>
                <w:szCs w:val="20"/>
              </w:rPr>
              <w:t>, je-li relevantní</w:t>
            </w:r>
          </w:p>
        </w:tc>
        <w:tc>
          <w:tcPr>
            <w:tcW w:w="2394" w:type="dxa"/>
          </w:tcPr>
          <w:p w14:paraId="558A0901" w14:textId="2D4CF917" w:rsidR="00D545F5" w:rsidRDefault="00D545F5" w:rsidP="00D545F5">
            <w:pPr>
              <w:rPr>
                <w:i/>
                <w:color w:val="FF0000"/>
                <w:sz w:val="20"/>
                <w:szCs w:val="20"/>
              </w:rPr>
            </w:pPr>
            <w:r w:rsidRPr="00D07B76">
              <w:rPr>
                <w:i/>
                <w:color w:val="FF0000"/>
                <w:sz w:val="20"/>
                <w:szCs w:val="20"/>
              </w:rPr>
              <w:t>povinná, je-li relevantní</w:t>
            </w:r>
          </w:p>
        </w:tc>
      </w:tr>
      <w:tr w:rsidR="00D545F5" w:rsidRPr="007B5D3D" w14:paraId="5E6F9BD4" w14:textId="2B885B4F" w:rsidTr="00D545F5">
        <w:tc>
          <w:tcPr>
            <w:tcW w:w="2422" w:type="dxa"/>
          </w:tcPr>
          <w:p w14:paraId="24AF2BD7" w14:textId="5C4FF3F6" w:rsidR="00D545F5" w:rsidRPr="00DF4060" w:rsidRDefault="00D545F5" w:rsidP="008B02B6">
            <w:pPr>
              <w:rPr>
                <w:color w:val="FF0000"/>
              </w:rPr>
            </w:pPr>
            <w:r>
              <w:t xml:space="preserve">Příloha č. </w:t>
            </w:r>
            <w:r>
              <w:rPr>
                <w:color w:val="FF0000"/>
              </w:rPr>
              <w:t>…</w:t>
            </w:r>
          </w:p>
        </w:tc>
        <w:tc>
          <w:tcPr>
            <w:tcW w:w="4226" w:type="dxa"/>
          </w:tcPr>
          <w:p w14:paraId="6F31A40E" w14:textId="7892218D" w:rsidR="00D545F5" w:rsidRPr="00006DA8" w:rsidRDefault="00D545F5" w:rsidP="008B02B6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  <w:tc>
          <w:tcPr>
            <w:tcW w:w="2394" w:type="dxa"/>
          </w:tcPr>
          <w:p w14:paraId="2923A76A" w14:textId="49677C81" w:rsidR="00D545F5" w:rsidRPr="00006DA8" w:rsidRDefault="00D545F5" w:rsidP="008B02B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nepovinná</w:t>
            </w:r>
          </w:p>
        </w:tc>
      </w:tr>
    </w:tbl>
    <w:p w14:paraId="3E030170" w14:textId="77777777" w:rsidR="00D545F5" w:rsidRDefault="00D545F5" w:rsidP="006E6251">
      <w:pPr>
        <w:rPr>
          <w:b/>
          <w:bCs/>
        </w:rPr>
      </w:pPr>
    </w:p>
    <w:p w14:paraId="60D24757" w14:textId="17E81890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993B8" w14:textId="77777777" w:rsidR="000E10CE" w:rsidRDefault="000E10CE" w:rsidP="00DC4000">
      <w:pPr>
        <w:spacing w:after="0" w:line="240" w:lineRule="auto"/>
      </w:pPr>
      <w:r>
        <w:separator/>
      </w:r>
    </w:p>
  </w:endnote>
  <w:endnote w:type="continuationSeparator" w:id="0">
    <w:p w14:paraId="639D7A52" w14:textId="77777777" w:rsidR="000E10CE" w:rsidRDefault="000E10C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54E89F8C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8E7">
          <w:rPr>
            <w:noProof/>
          </w:rPr>
          <w:t>3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50FBE" w14:textId="77777777" w:rsidR="000E10CE" w:rsidRDefault="000E10CE" w:rsidP="00DC4000">
      <w:pPr>
        <w:spacing w:after="0" w:line="240" w:lineRule="auto"/>
      </w:pPr>
      <w:r>
        <w:separator/>
      </w:r>
    </w:p>
  </w:footnote>
  <w:footnote w:type="continuationSeparator" w:id="0">
    <w:p w14:paraId="70FD4C30" w14:textId="77777777" w:rsidR="000E10CE" w:rsidRDefault="000E10C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3851C0AA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01636C3D">
          <wp:simplePos x="0" y="0"/>
          <wp:positionH relativeFrom="margin">
            <wp:posOffset>1228090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6DA8"/>
    <w:rsid w:val="00034644"/>
    <w:rsid w:val="0005018F"/>
    <w:rsid w:val="00060075"/>
    <w:rsid w:val="00094CE2"/>
    <w:rsid w:val="00095943"/>
    <w:rsid w:val="000C7C81"/>
    <w:rsid w:val="000E09C4"/>
    <w:rsid w:val="000E10CE"/>
    <w:rsid w:val="00106565"/>
    <w:rsid w:val="001115D4"/>
    <w:rsid w:val="00112843"/>
    <w:rsid w:val="00117535"/>
    <w:rsid w:val="001235EA"/>
    <w:rsid w:val="001569BD"/>
    <w:rsid w:val="00174A6F"/>
    <w:rsid w:val="001D393B"/>
    <w:rsid w:val="00211D24"/>
    <w:rsid w:val="0021508A"/>
    <w:rsid w:val="00223C06"/>
    <w:rsid w:val="0023690F"/>
    <w:rsid w:val="00236CF7"/>
    <w:rsid w:val="0024672C"/>
    <w:rsid w:val="002476A6"/>
    <w:rsid w:val="00260C35"/>
    <w:rsid w:val="002749EF"/>
    <w:rsid w:val="0027541F"/>
    <w:rsid w:val="00293256"/>
    <w:rsid w:val="002A3A05"/>
    <w:rsid w:val="002E7863"/>
    <w:rsid w:val="00305610"/>
    <w:rsid w:val="00305A1C"/>
    <w:rsid w:val="0032290B"/>
    <w:rsid w:val="00323588"/>
    <w:rsid w:val="003268E7"/>
    <w:rsid w:val="00331076"/>
    <w:rsid w:val="00351DDA"/>
    <w:rsid w:val="00357D39"/>
    <w:rsid w:val="003674CE"/>
    <w:rsid w:val="003B514B"/>
    <w:rsid w:val="003E4E8C"/>
    <w:rsid w:val="00430E27"/>
    <w:rsid w:val="00446298"/>
    <w:rsid w:val="00455349"/>
    <w:rsid w:val="00480754"/>
    <w:rsid w:val="004A70A7"/>
    <w:rsid w:val="004E36F2"/>
    <w:rsid w:val="004E4B1D"/>
    <w:rsid w:val="00512073"/>
    <w:rsid w:val="00552CD1"/>
    <w:rsid w:val="005644BD"/>
    <w:rsid w:val="00566AB1"/>
    <w:rsid w:val="00583387"/>
    <w:rsid w:val="00586900"/>
    <w:rsid w:val="006032DC"/>
    <w:rsid w:val="006156B7"/>
    <w:rsid w:val="006156C1"/>
    <w:rsid w:val="006175F3"/>
    <w:rsid w:val="00647584"/>
    <w:rsid w:val="00647B45"/>
    <w:rsid w:val="00650FCD"/>
    <w:rsid w:val="006A286C"/>
    <w:rsid w:val="006B2083"/>
    <w:rsid w:val="006C580A"/>
    <w:rsid w:val="006D0457"/>
    <w:rsid w:val="006E6251"/>
    <w:rsid w:val="006F460C"/>
    <w:rsid w:val="00726F7F"/>
    <w:rsid w:val="007314F2"/>
    <w:rsid w:val="0074625F"/>
    <w:rsid w:val="00756F8E"/>
    <w:rsid w:val="00757BE5"/>
    <w:rsid w:val="007623F3"/>
    <w:rsid w:val="00767F0D"/>
    <w:rsid w:val="00791999"/>
    <w:rsid w:val="007A09CC"/>
    <w:rsid w:val="007A2964"/>
    <w:rsid w:val="007D1E1A"/>
    <w:rsid w:val="00806654"/>
    <w:rsid w:val="00867ACF"/>
    <w:rsid w:val="008750CA"/>
    <w:rsid w:val="00895EBC"/>
    <w:rsid w:val="008B02B6"/>
    <w:rsid w:val="008B52C1"/>
    <w:rsid w:val="008B7B1D"/>
    <w:rsid w:val="008C6FB6"/>
    <w:rsid w:val="008D2D37"/>
    <w:rsid w:val="0094363F"/>
    <w:rsid w:val="009575AD"/>
    <w:rsid w:val="00963100"/>
    <w:rsid w:val="00985397"/>
    <w:rsid w:val="00991E7D"/>
    <w:rsid w:val="009B7743"/>
    <w:rsid w:val="009D7D54"/>
    <w:rsid w:val="00A01C2E"/>
    <w:rsid w:val="00A1529C"/>
    <w:rsid w:val="00A41571"/>
    <w:rsid w:val="00A60342"/>
    <w:rsid w:val="00A64E20"/>
    <w:rsid w:val="00A8562A"/>
    <w:rsid w:val="00AC004D"/>
    <w:rsid w:val="00AC110C"/>
    <w:rsid w:val="00AD1CE6"/>
    <w:rsid w:val="00B2672F"/>
    <w:rsid w:val="00B31454"/>
    <w:rsid w:val="00B34662"/>
    <w:rsid w:val="00B34DFA"/>
    <w:rsid w:val="00B512E3"/>
    <w:rsid w:val="00B51EF3"/>
    <w:rsid w:val="00B879AD"/>
    <w:rsid w:val="00BA3A50"/>
    <w:rsid w:val="00BA5D28"/>
    <w:rsid w:val="00BC5E9A"/>
    <w:rsid w:val="00BD3160"/>
    <w:rsid w:val="00C13769"/>
    <w:rsid w:val="00C33DD7"/>
    <w:rsid w:val="00C469FA"/>
    <w:rsid w:val="00C566ED"/>
    <w:rsid w:val="00C97923"/>
    <w:rsid w:val="00CE482C"/>
    <w:rsid w:val="00D275CA"/>
    <w:rsid w:val="00D545F5"/>
    <w:rsid w:val="00D62762"/>
    <w:rsid w:val="00D65CEA"/>
    <w:rsid w:val="00D722BD"/>
    <w:rsid w:val="00D722D1"/>
    <w:rsid w:val="00D72E34"/>
    <w:rsid w:val="00DC4000"/>
    <w:rsid w:val="00DD19E0"/>
    <w:rsid w:val="00DF4060"/>
    <w:rsid w:val="00DF4369"/>
    <w:rsid w:val="00DF7E0F"/>
    <w:rsid w:val="00E76B1A"/>
    <w:rsid w:val="00E83D6B"/>
    <w:rsid w:val="00E86148"/>
    <w:rsid w:val="00E95273"/>
    <w:rsid w:val="00EE1EE1"/>
    <w:rsid w:val="00EF18AB"/>
    <w:rsid w:val="00EF776C"/>
    <w:rsid w:val="00F379D1"/>
    <w:rsid w:val="00F80716"/>
    <w:rsid w:val="00F909D4"/>
    <w:rsid w:val="00FD3692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op.mmr.cz/cs/vyzvy-2021-2027/vyzvy/61vyzvairo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rr.cz/irop/projekt-a-kontrola/kontrolni-list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pvvenk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maspvven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912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29</cp:revision>
  <cp:lastPrinted>2023-08-03T06:06:00Z</cp:lastPrinted>
  <dcterms:created xsi:type="dcterms:W3CDTF">2023-08-02T11:31:00Z</dcterms:created>
  <dcterms:modified xsi:type="dcterms:W3CDTF">2023-08-21T10:42:00Z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