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6AC2763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 w:rsidR="000C7C8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– </w:t>
      </w:r>
      <w:r w:rsidR="000C7C81">
        <w:rPr>
          <w:b/>
          <w:sz w:val="32"/>
          <w:szCs w:val="32"/>
        </w:rPr>
        <w:t>Projektový záměr</w:t>
      </w:r>
    </w:p>
    <w:p w14:paraId="10CD12BE" w14:textId="05C1796D" w:rsidR="000C7C81" w:rsidRDefault="000C7C81" w:rsidP="00963100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„2. výzva Prostějov venkov-IROP-</w:t>
      </w:r>
      <w:r w:rsidR="00830ED6">
        <w:rPr>
          <w:rFonts w:ascii="Calibri" w:hAnsi="Calibri" w:cs="Calibri"/>
          <w:b/>
          <w:sz w:val="28"/>
          <w:szCs w:val="28"/>
        </w:rPr>
        <w:t>DOPRAVA</w:t>
      </w:r>
      <w:r w:rsidRPr="000C7C81">
        <w:rPr>
          <w:rFonts w:ascii="Calibri" w:hAnsi="Calibri" w:cs="Calibri"/>
          <w:b/>
          <w:sz w:val="28"/>
          <w:szCs w:val="28"/>
        </w:rPr>
        <w:t>“</w:t>
      </w:r>
    </w:p>
    <w:p w14:paraId="3C7C1F28" w14:textId="77777777" w:rsidR="000C7C81" w:rsidRPr="000C7C81" w:rsidRDefault="000C7C81" w:rsidP="000C7C81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Vazba na 60. Výzvu - IROP - DOPRAVA - SC 5.1 (CLLD)</w:t>
      </w:r>
    </w:p>
    <w:p w14:paraId="1CA5F46C" w14:textId="3F0EF93B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1EF4C1A5" w14:textId="77777777" w:rsidR="000C7C81" w:rsidRDefault="000C7C81" w:rsidP="000C7C81">
      <w:pPr>
        <w:jc w:val="both"/>
      </w:pPr>
      <w:r>
        <w:t>Administrativní kontrolu záměrů provádí pracovníci kanceláře Prostějov venkov o.p.s.</w:t>
      </w:r>
    </w:p>
    <w:p w14:paraId="2EB58D0B" w14:textId="77777777" w:rsidR="000C7C81" w:rsidRDefault="000C7C81" w:rsidP="000C7C81">
      <w:pPr>
        <w:jc w:val="both"/>
      </w:pPr>
      <w:r>
        <w:t>Věcné hodnocení záměrů provádí Výběrová komise MAS jakožto výběrový orgán.</w:t>
      </w:r>
    </w:p>
    <w:p w14:paraId="3B5E28AA" w14:textId="77777777" w:rsidR="00ED3FE5" w:rsidRPr="00492425" w:rsidRDefault="000C7C81" w:rsidP="00C5740D">
      <w:pPr>
        <w:jc w:val="both"/>
        <w:rPr>
          <w:rFonts w:cstheme="minorHAnsi"/>
        </w:rPr>
      </w:pPr>
      <w:r>
        <w:t xml:space="preserve">Programový výbor MAS jakožto Rozhodovací orgán vybírá záměry, kterým bude vydáno Vyjádření o souladu se SCLLD Prostějov venkov o.p.s. </w:t>
      </w:r>
      <w:r w:rsidR="00ED3FE5" w:rsidRPr="00492425">
        <w:rPr>
          <w:rFonts w:cstheme="minorHAnsi"/>
        </w:rPr>
        <w:t>Vyjádření o souladu se SCLLD MAS je povinnou přílohou žádosti o podporu v MS21+.</w:t>
      </w:r>
    </w:p>
    <w:p w14:paraId="12CBB3AA" w14:textId="4303942B" w:rsidR="000C7C81" w:rsidRDefault="000C7C81" w:rsidP="000C7C81">
      <w:pPr>
        <w:jc w:val="both"/>
      </w:pPr>
      <w:r>
        <w:t xml:space="preserve">Postup hodnocení záměrů je uveden v dokumentu "Interní postupy Prostějov venkov o.p.s. pro programové období 2021-2027 - IROP".  </w:t>
      </w:r>
      <w:r w:rsidR="00C5740D" w:rsidRPr="00322FEA">
        <w:rPr>
          <w:rFonts w:cstheme="minorHAnsi"/>
        </w:rPr>
        <w:t xml:space="preserve">Dokument  je zveřejněn </w:t>
      </w:r>
      <w:proofErr w:type="gramStart"/>
      <w:r w:rsidR="00C5740D" w:rsidRPr="00322FEA">
        <w:rPr>
          <w:rFonts w:cstheme="minorHAnsi"/>
        </w:rPr>
        <w:t>na</w:t>
      </w:r>
      <w:proofErr w:type="gramEnd"/>
      <w:r w:rsidR="00C5740D" w:rsidRPr="00322FEA">
        <w:rPr>
          <w:rFonts w:cstheme="minorHAnsi"/>
        </w:rPr>
        <w:t xml:space="preserve">:  </w:t>
      </w:r>
      <w:hyperlink r:id="rId10" w:history="1">
        <w:r w:rsidR="00C5740D" w:rsidRPr="00C9573D">
          <w:rPr>
            <w:rStyle w:val="Hypertextovodkaz"/>
          </w:rPr>
          <w:t>www.maspvvenkov.cz</w:t>
        </w:r>
      </w:hyperlink>
    </w:p>
    <w:p w14:paraId="369F26D0" w14:textId="238B08EE" w:rsidR="00C5740D" w:rsidRDefault="000C7C81" w:rsidP="00C5740D">
      <w:pPr>
        <w:rPr>
          <w:rFonts w:cstheme="minorHAnsi"/>
        </w:rPr>
      </w:pPr>
      <w:r>
        <w:t xml:space="preserve">Po výběru projektových záměrů ze strany MAS žadatel podá žádost o podporu do výzvy </w:t>
      </w:r>
      <w:proofErr w:type="gramStart"/>
      <w:r>
        <w:t>č.60</w:t>
      </w:r>
      <w:proofErr w:type="gramEnd"/>
      <w:r>
        <w:t xml:space="preserve"> IROP, a to prostřednictvím MS21+. </w:t>
      </w:r>
      <w:r w:rsidR="00C5740D" w:rsidRPr="00322FEA">
        <w:rPr>
          <w:rFonts w:cstheme="minorHAnsi"/>
        </w:rPr>
        <w:t xml:space="preserve">Pověřený pracovník MAS záměr v MS21+ před odesláním zkontroluje a podepíše. </w:t>
      </w:r>
    </w:p>
    <w:p w14:paraId="763B5D62" w14:textId="77777777" w:rsidR="00C5740D" w:rsidRDefault="00C5740D" w:rsidP="00C5740D">
      <w:pPr>
        <w:jc w:val="both"/>
      </w:pPr>
      <w:r>
        <w:t xml:space="preserve">Žadatel má možnost podat žádost o přezkum hodnocení. Postup pro tento případ je uveden v dokumentu "Interní postupy Prostějov venkov o.p.s. pro programové období 2021-2027 - IROP".  </w:t>
      </w:r>
      <w:r w:rsidRPr="00322FEA">
        <w:rPr>
          <w:rFonts w:cstheme="minorHAnsi"/>
        </w:rPr>
        <w:t xml:space="preserve">Dokument  je zveřejněn na:  </w:t>
      </w:r>
      <w:hyperlink r:id="rId11" w:history="1">
        <w:r w:rsidRPr="00C9573D">
          <w:rPr>
            <w:rStyle w:val="Hypertextovodkaz"/>
          </w:rPr>
          <w:t>www.maspvvenkov.cz</w:t>
        </w:r>
      </w:hyperlink>
    </w:p>
    <w:p w14:paraId="537C81B2" w14:textId="77777777" w:rsidR="000C7C81" w:rsidRDefault="000C7C81" w:rsidP="000C7C81">
      <w:pPr>
        <w:jc w:val="both"/>
      </w:pPr>
      <w:r>
        <w:t>Hodnocení žádosti o podporu je v kompetenci Centra pro regionální rozvoj (CRR). Kontrolní listy k hodnocení CRR jsou zveřejněny na: https://www.crr.cz/irop/projekt-a-kontrola/kontrolni-listy/</w:t>
      </w:r>
    </w:p>
    <w:p w14:paraId="7CD82269" w14:textId="18D1AC1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0C7C81">
        <w:t>60</w:t>
      </w:r>
      <w:r>
        <w:t xml:space="preserve"> IROP (vždy v aktuálním znění).</w:t>
      </w:r>
    </w:p>
    <w:p w14:paraId="2C5650A1" w14:textId="140E930A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0C7C81" w:rsidRPr="00C9573D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07A908C" w14:textId="77ACCDF7" w:rsidR="00DF4369" w:rsidRDefault="00DF4369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F4369">
        <w:t>Pro jednoho žadatele o podporu (předkladatele záměru) je omezen počet podaných záměrů na jeden (tj. za jedno IČ jeden projektový záměr). Pokud podá jeden žadatel (jedno IČ) do té</w:t>
      </w:r>
      <w:r w:rsidR="0050751A">
        <w:t>t</w:t>
      </w:r>
      <w:r w:rsidRPr="00DF4369">
        <w:t>o výzvy více záměrů, bude do administrativní kontroly a hodnocení zařazen záměr, který byl podán nejdříve. Ostatní záměry stejného žadatele (stejné IČ) budou vyřazeny.</w:t>
      </w:r>
    </w:p>
    <w:p w14:paraId="7FCE3592" w14:textId="1AD174CD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672F38E7" w:rsidR="00211D24" w:rsidRDefault="00D80649">
      <w:r w:rsidRPr="00D80649">
        <w:t>Schválena programovým výborem dne 15.8.2023</w:t>
      </w:r>
      <w:bookmarkStart w:id="1" w:name="_GoBack"/>
      <w:bookmarkEnd w:id="1"/>
    </w:p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D8D4BDD" w:rsidR="006E6251" w:rsidRPr="00331076" w:rsidRDefault="00FD3692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Prostějov venkov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09CAC5B1" w:rsidR="006E6251" w:rsidRPr="00331076" w:rsidRDefault="00FD3692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D3692">
              <w:rPr>
                <w:rFonts w:cs="Arial"/>
                <w:b/>
                <w:sz w:val="20"/>
                <w:szCs w:val="20"/>
              </w:rPr>
              <w:t>A 3.1 Zlepšení technické infrastruktury a vzhledu veřejných prostranství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74263598" w:rsidR="006E6251" w:rsidRPr="00331076" w:rsidRDefault="006E6251" w:rsidP="00FD369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D3692">
              <w:rPr>
                <w:sz w:val="20"/>
                <w:szCs w:val="20"/>
              </w:rPr>
              <w:t>60</w:t>
            </w:r>
            <w:r w:rsidR="00963100" w:rsidRPr="00963100">
              <w:rPr>
                <w:sz w:val="20"/>
                <w:szCs w:val="20"/>
              </w:rPr>
              <w:t xml:space="preserve">. VÝZVU - IROP - </w:t>
            </w:r>
            <w:r w:rsidR="00FD3692">
              <w:rPr>
                <w:sz w:val="20"/>
                <w:szCs w:val="20"/>
              </w:rPr>
              <w:t>DOPRAVA</w:t>
            </w:r>
            <w:r w:rsidR="00963100" w:rsidRPr="00963100">
              <w:rPr>
                <w:sz w:val="20"/>
                <w:szCs w:val="20"/>
              </w:rPr>
              <w:t>-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1AD28E26" w:rsidR="006E6251" w:rsidRPr="00331076" w:rsidRDefault="006E6251" w:rsidP="00830ED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FD3692" w:rsidRPr="00FD3692">
              <w:rPr>
                <w:rFonts w:cs="Arial"/>
                <w:bCs/>
                <w:sz w:val="20"/>
                <w:szCs w:val="20"/>
              </w:rPr>
              <w:t>2. výzva Prostějov venkov-IROP-</w:t>
            </w:r>
            <w:r w:rsidR="00830ED6">
              <w:rPr>
                <w:rFonts w:cs="Arial"/>
                <w:bCs/>
                <w:sz w:val="20"/>
                <w:szCs w:val="20"/>
              </w:rPr>
              <w:t>DOPRAVA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83512F3" w:rsidR="00991E7D" w:rsidRPr="00006DA8" w:rsidRDefault="00991E7D" w:rsidP="007B317C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vyplňte úplný název žadatele 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36FE7CC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sídlo žadatel</w:t>
            </w:r>
            <w:r w:rsidR="007A09CC">
              <w:rPr>
                <w:rFonts w:cs="Arial"/>
                <w:sz w:val="20"/>
                <w:szCs w:val="20"/>
              </w:rPr>
              <w:t xml:space="preserve">e </w:t>
            </w:r>
            <w:r w:rsidR="007A09CC">
              <w:rPr>
                <w:rFonts w:cs="Arial"/>
                <w:sz w:val="20"/>
                <w:szCs w:val="20"/>
              </w:rPr>
              <w:br/>
              <w:t>(ulice č. p./č. o., obec, PSČ</w:t>
            </w:r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FD3692" w:rsidRPr="001C1F58" w14:paraId="162C8F32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26996527" w14:textId="77777777" w:rsidR="00FD3692" w:rsidRPr="001C1F58" w:rsidRDefault="00FD3692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65CA40EA" w14:textId="5247848D" w:rsidR="00FD3692" w:rsidRPr="00331076" w:rsidRDefault="00FD3692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datová schránka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B29303F" w14:textId="1576868E" w:rsidR="00FD3692" w:rsidRPr="00006DA8" w:rsidRDefault="00FD3692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65A5EB57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p w14:paraId="29424BF6" w14:textId="4E61299F" w:rsidR="00AC110C" w:rsidRDefault="00AC110C" w:rsidP="00991E7D">
      <w:pPr>
        <w:rPr>
          <w:b/>
        </w:rPr>
      </w:pPr>
      <w:r>
        <w:rPr>
          <w:b/>
        </w:rPr>
        <w:t>Podrobný popis projektu je doložen</w:t>
      </w:r>
      <w:r w:rsidR="00DF4060">
        <w:rPr>
          <w:b/>
        </w:rPr>
        <w:t xml:space="preserve"> (příloha č.</w:t>
      </w:r>
      <w:r w:rsidR="00944E87">
        <w:rPr>
          <w:b/>
        </w:rPr>
        <w:t xml:space="preserve"> </w:t>
      </w:r>
      <w:r w:rsidR="00DF4060">
        <w:rPr>
          <w:b/>
        </w:rPr>
        <w:t>2</w:t>
      </w:r>
      <w:r>
        <w:rPr>
          <w:b/>
        </w:rPr>
        <w:t xml:space="preserve"> Specifických  pravidel pro žadatele a příjemce</w:t>
      </w:r>
      <w:r w:rsidR="00DF4060">
        <w:rPr>
          <w:b/>
        </w:rPr>
        <w:t>)</w:t>
      </w:r>
      <w:r>
        <w:rPr>
          <w:b/>
        </w:rPr>
        <w:t>.</w:t>
      </w:r>
    </w:p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0819DB71" w:rsidR="00991E7D" w:rsidRPr="00060075" w:rsidRDefault="00060075" w:rsidP="00991E7D">
      <w:pPr>
        <w:rPr>
          <w:i/>
          <w:color w:val="FF0000"/>
        </w:rPr>
      </w:pPr>
      <w:r w:rsidRPr="00060075">
        <w:rPr>
          <w:i/>
          <w:color w:val="FF0000"/>
          <w:sz w:val="20"/>
          <w:szCs w:val="20"/>
        </w:rPr>
        <w:t xml:space="preserve">Žadatelem uvedené  částky </w:t>
      </w:r>
      <w:r w:rsidR="00FC5F56">
        <w:rPr>
          <w:i/>
          <w:color w:val="FF0000"/>
          <w:sz w:val="20"/>
          <w:szCs w:val="20"/>
        </w:rPr>
        <w:t xml:space="preserve">CZV </w:t>
      </w:r>
      <w:r w:rsidRPr="00060075">
        <w:rPr>
          <w:i/>
          <w:color w:val="FF0000"/>
          <w:sz w:val="20"/>
          <w:szCs w:val="20"/>
        </w:rPr>
        <w:t>jsou brány jako maximální možné a nelze je překročit.  Překročení  při podání  žádosti  do  systému MS21+ budeme považovat  za porušení  soul</w:t>
      </w:r>
      <w:r>
        <w:rPr>
          <w:i/>
          <w:color w:val="FF0000"/>
          <w:sz w:val="20"/>
          <w:szCs w:val="20"/>
        </w:rPr>
        <w:t>adu</w:t>
      </w:r>
      <w:r w:rsidRPr="00060075">
        <w:rPr>
          <w:i/>
          <w:color w:val="FF0000"/>
          <w:sz w:val="20"/>
          <w:szCs w:val="20"/>
        </w:rPr>
        <w:t xml:space="preserve"> s</w:t>
      </w:r>
      <w:r w:rsidR="00FC5F56">
        <w:rPr>
          <w:i/>
          <w:color w:val="FF0000"/>
          <w:sz w:val="20"/>
          <w:szCs w:val="20"/>
        </w:rPr>
        <w:t>e</w:t>
      </w:r>
      <w:r w:rsidRPr="00060075">
        <w:rPr>
          <w:i/>
          <w:color w:val="FF0000"/>
          <w:sz w:val="20"/>
          <w:szCs w:val="20"/>
        </w:rPr>
        <w:t> SCLLD.</w:t>
      </w:r>
    </w:p>
    <w:p w14:paraId="4D027777" w14:textId="2CC2335A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30E27" w:rsidRPr="00586900" w14:paraId="6A211B7C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44F14" w14:textId="77777777" w:rsidR="00430E27" w:rsidRDefault="00430E27" w:rsidP="001F03CD">
            <w:pPr>
              <w:rPr>
                <w:rFonts w:cs="Calibri"/>
                <w:color w:val="000000"/>
              </w:rPr>
            </w:pPr>
            <w:r w:rsidRPr="00851065">
              <w:rPr>
                <w:rFonts w:cs="Calibri"/>
                <w:color w:val="000000"/>
              </w:rPr>
              <w:t>Projekt zajišťuje bezbariérový přístup k zastávkám veřejné hromadné dopravy.</w:t>
            </w:r>
          </w:p>
          <w:p w14:paraId="7AF17B35" w14:textId="2C7B8FBC" w:rsid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 xml:space="preserve">Posuzuje se </w:t>
            </w:r>
            <w:r>
              <w:rPr>
                <w:i/>
                <w:color w:val="FF0000"/>
                <w:sz w:val="20"/>
                <w:szCs w:val="20"/>
              </w:rPr>
              <w:t>počet  zastávek</w:t>
            </w:r>
            <w:r w:rsidRPr="00DF1583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14:paraId="4533AA82" w14:textId="3765463C" w:rsidR="00430E27" w:rsidRPr="00DF1583" w:rsidRDefault="00430E27" w:rsidP="001F03CD">
            <w:pPr>
              <w:rPr>
                <w:b/>
              </w:rPr>
            </w:pPr>
          </w:p>
        </w:tc>
      </w:tr>
      <w:tr w:rsidR="00430E27" w:rsidRPr="00586900" w14:paraId="1D003866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05D094" w14:textId="77777777" w:rsidR="00430E27" w:rsidRDefault="00430E27" w:rsidP="00430E27">
            <w:pPr>
              <w:tabs>
                <w:tab w:val="left" w:pos="930"/>
              </w:tabs>
              <w:rPr>
                <w:rFonts w:cs="Calibri"/>
                <w:color w:val="000000"/>
              </w:rPr>
            </w:pPr>
            <w:r w:rsidRPr="00851065">
              <w:rPr>
                <w:rFonts w:cs="Calibri"/>
                <w:color w:val="000000"/>
              </w:rPr>
              <w:t>Počet obyvatel obce, ve kterém se daný projekt realizuje.</w:t>
            </w:r>
          </w:p>
          <w:p w14:paraId="3E4F1A58" w14:textId="77777777" w:rsid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>Posuzuje se počet obyvatel obce, ve které je projekt realizován dle údajů Českého statistického úřadu ke dni 1. 1. 2022</w:t>
            </w:r>
          </w:p>
          <w:p w14:paraId="7D82C659" w14:textId="796F9075" w:rsidR="00430E27" w:rsidRPr="00DF1583" w:rsidRDefault="00430E27" w:rsidP="00430E27">
            <w:pPr>
              <w:tabs>
                <w:tab w:val="left" w:pos="930"/>
              </w:tabs>
              <w:rPr>
                <w:b/>
              </w:rPr>
            </w:pPr>
          </w:p>
        </w:tc>
      </w:tr>
      <w:tr w:rsidR="00430E27" w:rsidRPr="00586900" w14:paraId="0B92D8F0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6946DB" w14:textId="77777777" w:rsidR="00430E27" w:rsidRDefault="00430E27" w:rsidP="001F03C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Délka chodníku</w:t>
            </w:r>
          </w:p>
          <w:p w14:paraId="061D6D03" w14:textId="77777777" w:rsidR="00430E27" w:rsidRP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430E27">
              <w:rPr>
                <w:i/>
                <w:color w:val="FF0000"/>
                <w:sz w:val="20"/>
                <w:szCs w:val="20"/>
              </w:rPr>
              <w:t xml:space="preserve">Posuzuje se délka nově vybudovaného, rekonstruovaného nebo modernizovaného úseku  komunikace pro pěší, která je součástí  projektu (zaokrouhleno  na cm). </w:t>
            </w:r>
          </w:p>
          <w:p w14:paraId="088870E7" w14:textId="77777777" w:rsidR="00430E27" w:rsidRDefault="00430E27" w:rsidP="001F03CD">
            <w:pPr>
              <w:rPr>
                <w:rFonts w:cs="Calibri"/>
                <w:color w:val="000000"/>
              </w:rPr>
            </w:pPr>
          </w:p>
          <w:p w14:paraId="41A900DC" w14:textId="54CE470C" w:rsidR="00430E27" w:rsidRPr="00DF1583" w:rsidRDefault="00430E27" w:rsidP="001F03CD">
            <w:pPr>
              <w:rPr>
                <w:b/>
              </w:rPr>
            </w:pPr>
          </w:p>
        </w:tc>
      </w:tr>
      <w:tr w:rsidR="00430E27" w:rsidRPr="00586900" w14:paraId="7198074A" w14:textId="77777777" w:rsidTr="001F03C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D4CE68" w14:textId="77777777" w:rsidR="00430E27" w:rsidRDefault="00430E27" w:rsidP="001F03C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Projekt řeší nový chodník</w:t>
            </w:r>
          </w:p>
          <w:p w14:paraId="1653F45E" w14:textId="77777777" w:rsidR="00430E27" w:rsidRP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430E27">
              <w:rPr>
                <w:i/>
                <w:color w:val="FF0000"/>
                <w:sz w:val="20"/>
                <w:szCs w:val="20"/>
              </w:rPr>
              <w:t>Posuzuje se, zda  alespoň 2 m z celkové délky chodníku, budou vybudovány v místě, kde před realizací chodník nebyl.</w:t>
            </w:r>
          </w:p>
          <w:p w14:paraId="0F70B337" w14:textId="0D075858" w:rsidR="00430E27" w:rsidRPr="00DF1583" w:rsidRDefault="00430E27" w:rsidP="001F03CD">
            <w:pPr>
              <w:rPr>
                <w:b/>
              </w:rPr>
            </w:pPr>
          </w:p>
        </w:tc>
      </w:tr>
      <w:tr w:rsidR="0032290B" w:rsidRPr="00586900" w14:paraId="277E0822" w14:textId="77777777" w:rsidTr="001F03C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F154717" w14:textId="77777777" w:rsidR="0032290B" w:rsidRDefault="00430E27" w:rsidP="00430E27">
            <w:pPr>
              <w:rPr>
                <w:rFonts w:cs="Arial"/>
              </w:rPr>
            </w:pPr>
            <w:r w:rsidRPr="00160D17">
              <w:rPr>
                <w:rFonts w:cs="Arial"/>
              </w:rPr>
              <w:t>Stavební objekty</w:t>
            </w:r>
          </w:p>
          <w:p w14:paraId="2A8E1237" w14:textId="77777777" w:rsidR="00430E27" w:rsidRPr="00430E27" w:rsidRDefault="00430E27" w:rsidP="00430E27">
            <w:pPr>
              <w:rPr>
                <w:i/>
                <w:color w:val="FF0000"/>
                <w:sz w:val="20"/>
                <w:szCs w:val="20"/>
              </w:rPr>
            </w:pPr>
            <w:r w:rsidRPr="00430E27">
              <w:rPr>
                <w:i/>
                <w:color w:val="FF0000"/>
                <w:sz w:val="20"/>
                <w:szCs w:val="20"/>
              </w:rPr>
              <w:t xml:space="preserve">Součástí výstavby a stavební  úpravy stezky pro chodce je některý z těchto objektů - podchody, lávky, propustky a části mostních objektů, po kterých je komunikace pro pěší; </w:t>
            </w:r>
          </w:p>
          <w:p w14:paraId="0244E125" w14:textId="699D355E" w:rsidR="00430E27" w:rsidRPr="00791999" w:rsidRDefault="00430E27" w:rsidP="00430E27">
            <w:pPr>
              <w:rPr>
                <w:sz w:val="20"/>
                <w:szCs w:val="20"/>
              </w:rPr>
            </w:pPr>
          </w:p>
        </w:tc>
      </w:tr>
    </w:tbl>
    <w:p w14:paraId="3138DC43" w14:textId="44F3F8DF" w:rsidR="0032290B" w:rsidRPr="0032290B" w:rsidRDefault="0032290B" w:rsidP="00647584">
      <w:pPr>
        <w:rPr>
          <w:i/>
          <w:color w:val="FF0000"/>
        </w:rPr>
      </w:pPr>
      <w:r w:rsidRPr="0032290B">
        <w:rPr>
          <w:i/>
          <w:color w:val="FF0000"/>
        </w:rPr>
        <w:t>Prokázání nároku  na přidělení  preferenčních  kritérií  je třeba doložit např.  stavebně technickou  dokumentací  s jasně uvedenými  parametry délky chodníků  a</w:t>
      </w:r>
      <w:r>
        <w:rPr>
          <w:i/>
          <w:color w:val="FF0000"/>
        </w:rPr>
        <w:t xml:space="preserve"> </w:t>
      </w:r>
      <w:r w:rsidRPr="0032290B">
        <w:rPr>
          <w:i/>
          <w:color w:val="FF0000"/>
        </w:rPr>
        <w:t xml:space="preserve">pod. </w:t>
      </w:r>
    </w:p>
    <w:p w14:paraId="1ACA049A" w14:textId="20A475B7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32290B" w:rsidRPr="00D62762" w14:paraId="175B90DE" w14:textId="77777777" w:rsidTr="001F03CD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64D3863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791AB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0019AEB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8A10010" w14:textId="77777777" w:rsidR="0032290B" w:rsidRPr="00C4566E" w:rsidRDefault="0032290B" w:rsidP="001F03C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8C45B8" w14:textId="77777777" w:rsidR="0032290B" w:rsidRPr="00C4566E" w:rsidRDefault="0032290B" w:rsidP="001F03C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32290B" w:rsidRPr="001C1F58" w14:paraId="1E8BA5E1" w14:textId="77777777" w:rsidTr="001F03C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ED15324" w14:textId="77777777" w:rsidR="0032290B" w:rsidRPr="001C1F58" w:rsidRDefault="0032290B" w:rsidP="001F03C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C33C8">
              <w:rPr>
                <w:rFonts w:cs="Arial"/>
                <w:b/>
                <w:szCs w:val="20"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F6F524A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Délka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CB49BED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CEB209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F90BC10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32290B" w:rsidRPr="001C1F58" w14:paraId="39735485" w14:textId="77777777" w:rsidTr="001F03C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E676A26" w14:textId="77777777" w:rsidR="0032290B" w:rsidRPr="001C1F58" w:rsidRDefault="0032290B" w:rsidP="001F03C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C33C8">
              <w:rPr>
                <w:rFonts w:cs="Arial"/>
                <w:b/>
                <w:szCs w:val="20"/>
              </w:rPr>
              <w:t>726 011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060239A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Počet nehod na km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3427EB8" w14:textId="77777777" w:rsidR="0032290B" w:rsidRPr="00586900" w:rsidRDefault="0032290B" w:rsidP="001F03C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044664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40D333B" w14:textId="77777777" w:rsidR="0032290B" w:rsidRPr="00006DA8" w:rsidRDefault="0032290B" w:rsidP="001F03C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6044B7CF" w14:textId="38FE5CF4" w:rsidR="0032290B" w:rsidRDefault="0032290B" w:rsidP="00647584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0239D1D" w:rsidR="00991E7D" w:rsidRPr="00006DA8" w:rsidRDefault="00586900" w:rsidP="009B774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Doplňte </w:t>
            </w:r>
            <w:r w:rsidR="009B7743">
              <w:rPr>
                <w:i/>
                <w:color w:val="FF0000"/>
                <w:sz w:val="20"/>
                <w:szCs w:val="20"/>
              </w:rPr>
              <w:t>fotodokumentace před realizací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7A692" w14:textId="77777777" w:rsidR="009B1DAE" w:rsidRDefault="009B1DAE" w:rsidP="00DC4000">
      <w:pPr>
        <w:spacing w:after="0" w:line="240" w:lineRule="auto"/>
      </w:pPr>
      <w:r>
        <w:separator/>
      </w:r>
    </w:p>
  </w:endnote>
  <w:endnote w:type="continuationSeparator" w:id="0">
    <w:p w14:paraId="2B14A218" w14:textId="77777777" w:rsidR="009B1DAE" w:rsidRDefault="009B1DA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4E05FACB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49">
          <w:rPr>
            <w:noProof/>
          </w:rPr>
          <w:t>3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E7BCB" w14:textId="77777777" w:rsidR="009B1DAE" w:rsidRDefault="009B1DAE" w:rsidP="00DC4000">
      <w:pPr>
        <w:spacing w:after="0" w:line="240" w:lineRule="auto"/>
      </w:pPr>
      <w:r>
        <w:separator/>
      </w:r>
    </w:p>
  </w:footnote>
  <w:footnote w:type="continuationSeparator" w:id="0">
    <w:p w14:paraId="6F43B945" w14:textId="77777777" w:rsidR="009B1DAE" w:rsidRDefault="009B1DA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3851C0AA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01636C3D">
          <wp:simplePos x="0" y="0"/>
          <wp:positionH relativeFrom="margin">
            <wp:posOffset>1228090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6DA8"/>
    <w:rsid w:val="00034644"/>
    <w:rsid w:val="0005018F"/>
    <w:rsid w:val="00060075"/>
    <w:rsid w:val="00094CE2"/>
    <w:rsid w:val="00095943"/>
    <w:rsid w:val="000C7C81"/>
    <w:rsid w:val="00106565"/>
    <w:rsid w:val="001115D4"/>
    <w:rsid w:val="00117535"/>
    <w:rsid w:val="001235EA"/>
    <w:rsid w:val="001569BD"/>
    <w:rsid w:val="00174A6F"/>
    <w:rsid w:val="00211D24"/>
    <w:rsid w:val="00223C06"/>
    <w:rsid w:val="0023690F"/>
    <w:rsid w:val="00236CF7"/>
    <w:rsid w:val="0024672C"/>
    <w:rsid w:val="00260C35"/>
    <w:rsid w:val="002749EF"/>
    <w:rsid w:val="0027541F"/>
    <w:rsid w:val="002A3A05"/>
    <w:rsid w:val="002E7863"/>
    <w:rsid w:val="00305610"/>
    <w:rsid w:val="00305A1C"/>
    <w:rsid w:val="0032290B"/>
    <w:rsid w:val="00323588"/>
    <w:rsid w:val="00331076"/>
    <w:rsid w:val="00351DDA"/>
    <w:rsid w:val="00357D39"/>
    <w:rsid w:val="003E4E8C"/>
    <w:rsid w:val="00430E27"/>
    <w:rsid w:val="00446298"/>
    <w:rsid w:val="00455349"/>
    <w:rsid w:val="00480754"/>
    <w:rsid w:val="004A70A7"/>
    <w:rsid w:val="004E36F2"/>
    <w:rsid w:val="004E4B1D"/>
    <w:rsid w:val="0050751A"/>
    <w:rsid w:val="00512073"/>
    <w:rsid w:val="00552CD1"/>
    <w:rsid w:val="005644BD"/>
    <w:rsid w:val="00566AB1"/>
    <w:rsid w:val="00583387"/>
    <w:rsid w:val="00586900"/>
    <w:rsid w:val="005F335E"/>
    <w:rsid w:val="006032DC"/>
    <w:rsid w:val="006156C1"/>
    <w:rsid w:val="00647584"/>
    <w:rsid w:val="00650FCD"/>
    <w:rsid w:val="006B2083"/>
    <w:rsid w:val="006C580A"/>
    <w:rsid w:val="006D0457"/>
    <w:rsid w:val="006E6251"/>
    <w:rsid w:val="006F460C"/>
    <w:rsid w:val="00726F7F"/>
    <w:rsid w:val="007314F2"/>
    <w:rsid w:val="0074625F"/>
    <w:rsid w:val="00756F8E"/>
    <w:rsid w:val="00757BE5"/>
    <w:rsid w:val="007778E4"/>
    <w:rsid w:val="00791999"/>
    <w:rsid w:val="007A09CC"/>
    <w:rsid w:val="007A2964"/>
    <w:rsid w:val="007B317C"/>
    <w:rsid w:val="007B6604"/>
    <w:rsid w:val="007D1E1A"/>
    <w:rsid w:val="00806654"/>
    <w:rsid w:val="00830ED6"/>
    <w:rsid w:val="008B7B1D"/>
    <w:rsid w:val="008C6FB6"/>
    <w:rsid w:val="008D2D37"/>
    <w:rsid w:val="008F0CBD"/>
    <w:rsid w:val="0094363F"/>
    <w:rsid w:val="00944E87"/>
    <w:rsid w:val="00963100"/>
    <w:rsid w:val="00985397"/>
    <w:rsid w:val="00991E7D"/>
    <w:rsid w:val="009B1DAE"/>
    <w:rsid w:val="009B7743"/>
    <w:rsid w:val="009D7D54"/>
    <w:rsid w:val="00A41571"/>
    <w:rsid w:val="00A60342"/>
    <w:rsid w:val="00A8562A"/>
    <w:rsid w:val="00AC004D"/>
    <w:rsid w:val="00AC110C"/>
    <w:rsid w:val="00B2672F"/>
    <w:rsid w:val="00B34DFA"/>
    <w:rsid w:val="00B51EF3"/>
    <w:rsid w:val="00B879AD"/>
    <w:rsid w:val="00BA3A50"/>
    <w:rsid w:val="00BA5D28"/>
    <w:rsid w:val="00C13769"/>
    <w:rsid w:val="00C33DD7"/>
    <w:rsid w:val="00C566ED"/>
    <w:rsid w:val="00C5740D"/>
    <w:rsid w:val="00C97923"/>
    <w:rsid w:val="00D26D06"/>
    <w:rsid w:val="00D275CA"/>
    <w:rsid w:val="00D62762"/>
    <w:rsid w:val="00D65CEA"/>
    <w:rsid w:val="00D722D1"/>
    <w:rsid w:val="00D72E34"/>
    <w:rsid w:val="00D80649"/>
    <w:rsid w:val="00DC4000"/>
    <w:rsid w:val="00DF4060"/>
    <w:rsid w:val="00DF4369"/>
    <w:rsid w:val="00E76B1A"/>
    <w:rsid w:val="00E83D6B"/>
    <w:rsid w:val="00E86148"/>
    <w:rsid w:val="00E95273"/>
    <w:rsid w:val="00ED3FE5"/>
    <w:rsid w:val="00EE1EE1"/>
    <w:rsid w:val="00EF18AB"/>
    <w:rsid w:val="00EF776C"/>
    <w:rsid w:val="00F379D1"/>
    <w:rsid w:val="00F66A35"/>
    <w:rsid w:val="00F909D4"/>
    <w:rsid w:val="00FC5F56"/>
    <w:rsid w:val="00FD3692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60vyzvair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pvvenk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pvven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11</cp:revision>
  <cp:lastPrinted>2023-07-25T11:01:00Z</cp:lastPrinted>
  <dcterms:created xsi:type="dcterms:W3CDTF">2023-08-02T11:33:00Z</dcterms:created>
  <dcterms:modified xsi:type="dcterms:W3CDTF">2023-08-21T10:39:00Z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